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00B1" w14:textId="7FFB697A" w:rsidR="00BD18A5" w:rsidRPr="004640DD" w:rsidRDefault="005D7B58" w:rsidP="004640DD">
      <w:pPr>
        <w:contextualSpacing/>
        <w:rPr>
          <w:rFonts w:ascii="Arial" w:hAnsi="Arial" w:cs="Arial"/>
          <w:b/>
          <w:bCs/>
          <w:sz w:val="24"/>
          <w:szCs w:val="24"/>
        </w:rPr>
      </w:pPr>
      <w:r w:rsidRPr="004640DD">
        <w:rPr>
          <w:rFonts w:ascii="Arial" w:hAnsi="Arial" w:cs="Arial"/>
          <w:b/>
          <w:bCs/>
          <w:sz w:val="24"/>
          <w:szCs w:val="24"/>
        </w:rPr>
        <w:t>OCEAN SHIPPING REFORM ACT OF 2021</w:t>
      </w:r>
    </w:p>
    <w:p w14:paraId="6B0A7936" w14:textId="0BD8EB41" w:rsidR="005D7B58" w:rsidRPr="004640DD" w:rsidRDefault="005D7B58" w:rsidP="004640DD">
      <w:pPr>
        <w:contextualSpacing/>
        <w:jc w:val="left"/>
        <w:rPr>
          <w:rFonts w:ascii="Arial" w:hAnsi="Arial" w:cs="Arial"/>
          <w:b/>
          <w:bCs/>
          <w:sz w:val="24"/>
          <w:szCs w:val="24"/>
        </w:rPr>
      </w:pPr>
    </w:p>
    <w:p w14:paraId="1BC5DFFA" w14:textId="2B59295D" w:rsidR="005D7B58" w:rsidRPr="004640DD" w:rsidRDefault="005D7B58" w:rsidP="004640DD">
      <w:pPr>
        <w:contextualSpacing/>
        <w:jc w:val="left"/>
        <w:rPr>
          <w:rFonts w:ascii="Arial" w:hAnsi="Arial" w:cs="Arial"/>
          <w:sz w:val="24"/>
          <w:szCs w:val="24"/>
        </w:rPr>
      </w:pPr>
      <w:r w:rsidRPr="004640DD">
        <w:rPr>
          <w:rFonts w:ascii="Arial" w:hAnsi="Arial" w:cs="Arial"/>
          <w:b/>
          <w:bCs/>
          <w:sz w:val="24"/>
          <w:szCs w:val="24"/>
        </w:rPr>
        <w:t xml:space="preserve">Sponsors: </w:t>
      </w:r>
      <w:r w:rsidRPr="004640DD">
        <w:rPr>
          <w:rFonts w:ascii="Arial" w:hAnsi="Arial" w:cs="Arial"/>
          <w:sz w:val="24"/>
          <w:szCs w:val="24"/>
        </w:rPr>
        <w:t>Reps. John Garamendi (D-CA) and Dusty Johnson (R-SD)</w:t>
      </w:r>
    </w:p>
    <w:p w14:paraId="338808E0" w14:textId="04C93B64" w:rsidR="005D7B58" w:rsidRPr="004640DD" w:rsidRDefault="005D7B58" w:rsidP="004640DD">
      <w:pPr>
        <w:contextualSpacing/>
        <w:jc w:val="left"/>
        <w:rPr>
          <w:rFonts w:ascii="Arial" w:hAnsi="Arial" w:cs="Arial"/>
          <w:sz w:val="24"/>
          <w:szCs w:val="24"/>
        </w:rPr>
      </w:pPr>
    </w:p>
    <w:p w14:paraId="36F81FC7" w14:textId="2A198C49" w:rsidR="005D7B58" w:rsidRPr="004640DD" w:rsidRDefault="005D7B58" w:rsidP="004640DD">
      <w:pPr>
        <w:contextualSpacing/>
        <w:rPr>
          <w:rFonts w:ascii="Arial" w:hAnsi="Arial" w:cs="Arial"/>
          <w:b/>
          <w:bCs/>
          <w:sz w:val="24"/>
          <w:szCs w:val="24"/>
          <w:u w:val="single"/>
        </w:rPr>
      </w:pPr>
      <w:r w:rsidRPr="004640DD">
        <w:rPr>
          <w:rFonts w:ascii="Arial" w:hAnsi="Arial" w:cs="Arial"/>
          <w:b/>
          <w:bCs/>
          <w:sz w:val="24"/>
          <w:szCs w:val="24"/>
          <w:u w:val="single"/>
        </w:rPr>
        <w:t>Section-by-Section Summary</w:t>
      </w:r>
    </w:p>
    <w:p w14:paraId="312787A4" w14:textId="548B5E1E" w:rsidR="005D7B58" w:rsidRPr="004640DD" w:rsidRDefault="005D7B58" w:rsidP="004640DD">
      <w:pPr>
        <w:contextualSpacing/>
        <w:jc w:val="left"/>
        <w:rPr>
          <w:rFonts w:ascii="Arial" w:hAnsi="Arial" w:cs="Arial"/>
          <w:b/>
          <w:bCs/>
          <w:sz w:val="24"/>
          <w:szCs w:val="24"/>
          <w:u w:val="single"/>
        </w:rPr>
      </w:pPr>
    </w:p>
    <w:p w14:paraId="01A67FF1" w14:textId="3F39849A" w:rsidR="005D7B58" w:rsidRPr="004640DD" w:rsidRDefault="005D7B58" w:rsidP="004640DD">
      <w:pPr>
        <w:contextualSpacing/>
        <w:jc w:val="left"/>
        <w:rPr>
          <w:rFonts w:ascii="Arial" w:hAnsi="Arial" w:cs="Arial"/>
          <w:sz w:val="24"/>
          <w:szCs w:val="24"/>
        </w:rPr>
      </w:pPr>
      <w:r w:rsidRPr="004640DD">
        <w:rPr>
          <w:rFonts w:ascii="Arial" w:hAnsi="Arial" w:cs="Arial"/>
          <w:b/>
          <w:bCs/>
          <w:sz w:val="24"/>
          <w:szCs w:val="24"/>
          <w:u w:val="single"/>
        </w:rPr>
        <w:t>Section 1:</w:t>
      </w:r>
      <w:r w:rsidRPr="004640DD">
        <w:rPr>
          <w:rFonts w:ascii="Arial" w:hAnsi="Arial" w:cs="Arial"/>
          <w:sz w:val="24"/>
          <w:szCs w:val="24"/>
        </w:rPr>
        <w:t xml:space="preserve"> Short Bill Title</w:t>
      </w:r>
    </w:p>
    <w:p w14:paraId="1CA0D14D" w14:textId="77777777" w:rsidR="005D7B58" w:rsidRPr="004640DD" w:rsidRDefault="005D7B58" w:rsidP="004640DD">
      <w:pPr>
        <w:contextualSpacing/>
        <w:jc w:val="left"/>
        <w:rPr>
          <w:rFonts w:ascii="Arial" w:hAnsi="Arial" w:cs="Arial"/>
          <w:sz w:val="24"/>
          <w:szCs w:val="24"/>
        </w:rPr>
      </w:pPr>
    </w:p>
    <w:p w14:paraId="7A32EB30" w14:textId="5F56873F" w:rsidR="005D7B58" w:rsidRPr="004640DD" w:rsidRDefault="005D7B58" w:rsidP="004640DD">
      <w:pPr>
        <w:contextualSpacing/>
        <w:jc w:val="left"/>
        <w:rPr>
          <w:rFonts w:ascii="Arial" w:hAnsi="Arial" w:cs="Arial"/>
          <w:sz w:val="24"/>
          <w:szCs w:val="24"/>
        </w:rPr>
      </w:pPr>
      <w:r w:rsidRPr="004640DD">
        <w:rPr>
          <w:rFonts w:ascii="Arial" w:hAnsi="Arial" w:cs="Arial"/>
          <w:b/>
          <w:bCs/>
          <w:sz w:val="24"/>
          <w:szCs w:val="24"/>
          <w:u w:val="single"/>
        </w:rPr>
        <w:t>Section 2:</w:t>
      </w:r>
      <w:r w:rsidRPr="004640DD">
        <w:rPr>
          <w:rFonts w:ascii="Arial" w:hAnsi="Arial" w:cs="Arial"/>
          <w:sz w:val="24"/>
          <w:szCs w:val="24"/>
        </w:rPr>
        <w:t xml:space="preserve"> Purposes</w:t>
      </w:r>
    </w:p>
    <w:p w14:paraId="1DBE10E6" w14:textId="0DB12013" w:rsidR="00745680" w:rsidRPr="004640DD" w:rsidRDefault="007F0961" w:rsidP="004640DD">
      <w:pPr>
        <w:pStyle w:val="ListParagraph"/>
        <w:numPr>
          <w:ilvl w:val="0"/>
          <w:numId w:val="2"/>
        </w:numPr>
        <w:jc w:val="left"/>
        <w:rPr>
          <w:rFonts w:ascii="Arial" w:hAnsi="Arial" w:cs="Arial"/>
          <w:sz w:val="24"/>
          <w:szCs w:val="24"/>
        </w:rPr>
      </w:pPr>
      <w:r w:rsidRPr="004640DD">
        <w:rPr>
          <w:rFonts w:ascii="Arial" w:hAnsi="Arial" w:cs="Arial"/>
          <w:sz w:val="24"/>
          <w:szCs w:val="24"/>
        </w:rPr>
        <w:t xml:space="preserve">Updates and improves the purposes of the Shipping Act </w:t>
      </w:r>
      <w:r w:rsidR="00745680" w:rsidRPr="004640DD">
        <w:rPr>
          <w:rFonts w:ascii="Arial" w:hAnsi="Arial" w:cs="Arial"/>
          <w:sz w:val="24"/>
          <w:szCs w:val="24"/>
        </w:rPr>
        <w:t>to better reflect current federal policy governing international ocean shipping</w:t>
      </w:r>
      <w:r w:rsidR="003B3D64" w:rsidRPr="004640DD">
        <w:rPr>
          <w:rFonts w:ascii="Arial" w:hAnsi="Arial" w:cs="Arial"/>
          <w:sz w:val="24"/>
          <w:szCs w:val="24"/>
        </w:rPr>
        <w:t>.</w:t>
      </w:r>
    </w:p>
    <w:p w14:paraId="27E947CA" w14:textId="77777777" w:rsidR="003B3D64" w:rsidRPr="004640DD" w:rsidRDefault="003B3D64" w:rsidP="004640DD">
      <w:pPr>
        <w:pStyle w:val="ListParagraph"/>
        <w:jc w:val="left"/>
        <w:rPr>
          <w:rFonts w:ascii="Arial" w:hAnsi="Arial" w:cs="Arial"/>
          <w:sz w:val="24"/>
          <w:szCs w:val="24"/>
        </w:rPr>
      </w:pPr>
    </w:p>
    <w:p w14:paraId="114F3AB8" w14:textId="5F282841" w:rsidR="00745680" w:rsidRPr="004640DD" w:rsidRDefault="00745680" w:rsidP="004640DD">
      <w:pPr>
        <w:pStyle w:val="ListParagraph"/>
        <w:numPr>
          <w:ilvl w:val="0"/>
          <w:numId w:val="2"/>
        </w:numPr>
        <w:jc w:val="left"/>
        <w:rPr>
          <w:rFonts w:ascii="Arial" w:hAnsi="Arial" w:cs="Arial"/>
          <w:sz w:val="24"/>
          <w:szCs w:val="24"/>
        </w:rPr>
      </w:pPr>
      <w:r w:rsidRPr="004640DD">
        <w:rPr>
          <w:rFonts w:ascii="Arial" w:hAnsi="Arial" w:cs="Arial"/>
          <w:sz w:val="24"/>
          <w:szCs w:val="24"/>
        </w:rPr>
        <w:t>Directs the Federal Maritime Commission (FMC) to promote fleet of US-flagged vessels to meet commercial needs, not just national security.</w:t>
      </w:r>
    </w:p>
    <w:p w14:paraId="229D3E06" w14:textId="77777777" w:rsidR="003B3D64" w:rsidRPr="004640DD" w:rsidRDefault="003B3D64" w:rsidP="004640DD">
      <w:pPr>
        <w:contextualSpacing/>
        <w:jc w:val="left"/>
        <w:rPr>
          <w:rFonts w:ascii="Arial" w:hAnsi="Arial" w:cs="Arial"/>
          <w:sz w:val="24"/>
          <w:szCs w:val="24"/>
        </w:rPr>
      </w:pPr>
    </w:p>
    <w:p w14:paraId="20AA0331" w14:textId="583427FC" w:rsidR="00745680" w:rsidRPr="004640DD" w:rsidRDefault="00745680" w:rsidP="004640DD">
      <w:pPr>
        <w:pStyle w:val="ListParagraph"/>
        <w:numPr>
          <w:ilvl w:val="0"/>
          <w:numId w:val="2"/>
        </w:numPr>
        <w:jc w:val="left"/>
        <w:rPr>
          <w:rFonts w:ascii="Arial" w:hAnsi="Arial" w:cs="Arial"/>
          <w:sz w:val="24"/>
          <w:szCs w:val="24"/>
        </w:rPr>
      </w:pPr>
      <w:r w:rsidRPr="004640DD">
        <w:rPr>
          <w:rFonts w:ascii="Arial" w:hAnsi="Arial" w:cs="Arial"/>
          <w:sz w:val="24"/>
          <w:szCs w:val="24"/>
        </w:rPr>
        <w:t>Establishes reciprocal trade as part of FMC’s mission in enforcing the Shipping Act</w:t>
      </w:r>
      <w:r w:rsidR="003B3D64" w:rsidRPr="004640DD">
        <w:rPr>
          <w:rFonts w:ascii="Arial" w:hAnsi="Arial" w:cs="Arial"/>
          <w:sz w:val="24"/>
          <w:szCs w:val="24"/>
        </w:rPr>
        <w:t>, not just promoting U.S. exports.</w:t>
      </w:r>
    </w:p>
    <w:p w14:paraId="11C10D3F" w14:textId="77777777" w:rsidR="005D7B58" w:rsidRPr="004640DD" w:rsidRDefault="005D7B58" w:rsidP="004640DD">
      <w:pPr>
        <w:contextualSpacing/>
        <w:jc w:val="left"/>
        <w:rPr>
          <w:rFonts w:ascii="Arial" w:hAnsi="Arial" w:cs="Arial"/>
          <w:sz w:val="24"/>
          <w:szCs w:val="24"/>
        </w:rPr>
      </w:pPr>
    </w:p>
    <w:p w14:paraId="7B808BC7" w14:textId="77D57B0B" w:rsidR="00A24093" w:rsidRPr="004640DD" w:rsidRDefault="005D7B58" w:rsidP="004640DD">
      <w:pPr>
        <w:contextualSpacing/>
        <w:jc w:val="left"/>
        <w:rPr>
          <w:rFonts w:ascii="Arial" w:hAnsi="Arial" w:cs="Arial"/>
          <w:sz w:val="24"/>
          <w:szCs w:val="24"/>
        </w:rPr>
      </w:pPr>
      <w:r w:rsidRPr="004640DD">
        <w:rPr>
          <w:rFonts w:ascii="Arial" w:hAnsi="Arial" w:cs="Arial"/>
          <w:b/>
          <w:bCs/>
          <w:sz w:val="24"/>
          <w:szCs w:val="24"/>
          <w:u w:val="single"/>
        </w:rPr>
        <w:t>Section 3:</w:t>
      </w:r>
      <w:r w:rsidRPr="004640DD">
        <w:rPr>
          <w:rFonts w:ascii="Arial" w:hAnsi="Arial" w:cs="Arial"/>
          <w:sz w:val="24"/>
          <w:szCs w:val="24"/>
        </w:rPr>
        <w:t xml:space="preserve"> Service Contracts</w:t>
      </w:r>
    </w:p>
    <w:p w14:paraId="0398A5E8" w14:textId="63EEC8FC" w:rsidR="00A24093" w:rsidRPr="004640DD" w:rsidRDefault="00A24093" w:rsidP="004640DD">
      <w:pPr>
        <w:pStyle w:val="ListParagraph"/>
        <w:numPr>
          <w:ilvl w:val="0"/>
          <w:numId w:val="4"/>
        </w:numPr>
        <w:jc w:val="left"/>
        <w:rPr>
          <w:rFonts w:ascii="Arial" w:hAnsi="Arial" w:cs="Arial"/>
          <w:sz w:val="24"/>
          <w:szCs w:val="24"/>
        </w:rPr>
      </w:pPr>
      <w:r w:rsidRPr="004640DD">
        <w:rPr>
          <w:rFonts w:ascii="Arial" w:hAnsi="Arial" w:cs="Arial"/>
          <w:sz w:val="24"/>
          <w:szCs w:val="24"/>
        </w:rPr>
        <w:t>Authorizes the FMC to stipulate additional minimum requirements for service contracts by ocean common carriers, at the agency’s discretion</w:t>
      </w:r>
      <w:r w:rsidR="003B3D64" w:rsidRPr="004640DD">
        <w:rPr>
          <w:rFonts w:ascii="Arial" w:hAnsi="Arial" w:cs="Arial"/>
          <w:sz w:val="24"/>
          <w:szCs w:val="24"/>
        </w:rPr>
        <w:t>.</w:t>
      </w:r>
    </w:p>
    <w:p w14:paraId="66162186" w14:textId="77777777" w:rsidR="00A24093" w:rsidRPr="004640DD" w:rsidRDefault="00A24093" w:rsidP="004640DD">
      <w:pPr>
        <w:pStyle w:val="ListParagraph"/>
        <w:jc w:val="left"/>
        <w:rPr>
          <w:rFonts w:ascii="Arial" w:hAnsi="Arial" w:cs="Arial"/>
          <w:sz w:val="24"/>
          <w:szCs w:val="24"/>
        </w:rPr>
      </w:pPr>
    </w:p>
    <w:p w14:paraId="64EA1FB0" w14:textId="5AA14E9A" w:rsidR="005D7B58" w:rsidRPr="004640DD" w:rsidRDefault="00A24093" w:rsidP="004640DD">
      <w:pPr>
        <w:pStyle w:val="ListParagraph"/>
        <w:numPr>
          <w:ilvl w:val="0"/>
          <w:numId w:val="4"/>
        </w:numPr>
        <w:jc w:val="left"/>
        <w:rPr>
          <w:rFonts w:ascii="Arial" w:hAnsi="Arial" w:cs="Arial"/>
          <w:sz w:val="24"/>
          <w:szCs w:val="24"/>
        </w:rPr>
      </w:pPr>
      <w:r w:rsidRPr="004640DD">
        <w:rPr>
          <w:rFonts w:ascii="Arial" w:hAnsi="Arial" w:cs="Arial"/>
          <w:sz w:val="24"/>
          <w:szCs w:val="24"/>
        </w:rPr>
        <w:t>Allows shippers to challenge a contract breach before the FMC, not just federal courts</w:t>
      </w:r>
      <w:r w:rsidR="003B3D64" w:rsidRPr="004640DD">
        <w:rPr>
          <w:rFonts w:ascii="Arial" w:hAnsi="Arial" w:cs="Arial"/>
          <w:sz w:val="24"/>
          <w:szCs w:val="24"/>
        </w:rPr>
        <w:t>.</w:t>
      </w:r>
    </w:p>
    <w:p w14:paraId="77DFEB33" w14:textId="77777777" w:rsidR="00A24093" w:rsidRPr="004640DD" w:rsidRDefault="00A24093" w:rsidP="004640DD">
      <w:pPr>
        <w:contextualSpacing/>
        <w:jc w:val="left"/>
        <w:rPr>
          <w:rFonts w:ascii="Arial" w:hAnsi="Arial" w:cs="Arial"/>
          <w:sz w:val="24"/>
          <w:szCs w:val="24"/>
        </w:rPr>
      </w:pPr>
    </w:p>
    <w:p w14:paraId="22449794" w14:textId="3CBE8BEC" w:rsidR="00A24093" w:rsidRPr="004640DD" w:rsidRDefault="00A24093" w:rsidP="004640DD">
      <w:pPr>
        <w:pStyle w:val="ListParagraph"/>
        <w:numPr>
          <w:ilvl w:val="0"/>
          <w:numId w:val="4"/>
        </w:numPr>
        <w:jc w:val="left"/>
        <w:rPr>
          <w:rFonts w:ascii="Arial" w:hAnsi="Arial" w:cs="Arial"/>
          <w:sz w:val="24"/>
          <w:szCs w:val="24"/>
        </w:rPr>
      </w:pPr>
      <w:r w:rsidRPr="004640DD">
        <w:rPr>
          <w:rFonts w:ascii="Arial" w:hAnsi="Arial" w:cs="Arial"/>
          <w:sz w:val="24"/>
          <w:szCs w:val="24"/>
        </w:rPr>
        <w:t>Expands the FMC’s unreasonable practice jurisdiction to service contracts when a</w:t>
      </w:r>
      <w:r w:rsidR="003B3D64" w:rsidRPr="004640DD">
        <w:rPr>
          <w:rFonts w:ascii="Arial" w:hAnsi="Arial" w:cs="Arial"/>
          <w:sz w:val="24"/>
          <w:szCs w:val="24"/>
        </w:rPr>
        <w:t>n ocean common</w:t>
      </w:r>
      <w:r w:rsidRPr="004640DD">
        <w:rPr>
          <w:rFonts w:ascii="Arial" w:hAnsi="Arial" w:cs="Arial"/>
          <w:sz w:val="24"/>
          <w:szCs w:val="24"/>
        </w:rPr>
        <w:t xml:space="preserve"> carrier is engaging in unfair contracting practices on a widespread basis.</w:t>
      </w:r>
    </w:p>
    <w:p w14:paraId="3D042D1A" w14:textId="77777777" w:rsidR="00A24093" w:rsidRPr="004640DD" w:rsidRDefault="00A24093" w:rsidP="004640DD">
      <w:pPr>
        <w:pStyle w:val="ListParagraph"/>
        <w:jc w:val="left"/>
        <w:rPr>
          <w:rFonts w:ascii="Arial" w:hAnsi="Arial" w:cs="Arial"/>
          <w:sz w:val="24"/>
          <w:szCs w:val="24"/>
        </w:rPr>
      </w:pPr>
    </w:p>
    <w:p w14:paraId="4EC8C6B3" w14:textId="750AA76F" w:rsidR="005D7B58" w:rsidRPr="004640DD" w:rsidRDefault="005D7B58" w:rsidP="004640DD">
      <w:pPr>
        <w:contextualSpacing/>
        <w:jc w:val="left"/>
        <w:rPr>
          <w:rFonts w:ascii="Arial" w:hAnsi="Arial" w:cs="Arial"/>
          <w:sz w:val="24"/>
          <w:szCs w:val="24"/>
        </w:rPr>
      </w:pPr>
      <w:r w:rsidRPr="004640DD">
        <w:rPr>
          <w:rFonts w:ascii="Arial" w:hAnsi="Arial" w:cs="Arial"/>
          <w:b/>
          <w:bCs/>
          <w:sz w:val="24"/>
          <w:szCs w:val="24"/>
          <w:u w:val="single"/>
        </w:rPr>
        <w:t>Section 4:</w:t>
      </w:r>
      <w:r w:rsidRPr="004640DD">
        <w:rPr>
          <w:rFonts w:ascii="Arial" w:hAnsi="Arial" w:cs="Arial"/>
          <w:sz w:val="24"/>
          <w:szCs w:val="24"/>
        </w:rPr>
        <w:t xml:space="preserve"> Public Disclosure</w:t>
      </w:r>
    </w:p>
    <w:p w14:paraId="34C65133" w14:textId="540228B1" w:rsidR="003B3D64" w:rsidRPr="004640DD" w:rsidRDefault="003B3D64" w:rsidP="004640DD">
      <w:pPr>
        <w:pStyle w:val="ListParagraph"/>
        <w:numPr>
          <w:ilvl w:val="0"/>
          <w:numId w:val="7"/>
        </w:numPr>
        <w:jc w:val="left"/>
        <w:rPr>
          <w:rFonts w:ascii="Arial" w:hAnsi="Arial" w:cs="Arial"/>
          <w:sz w:val="24"/>
          <w:szCs w:val="24"/>
        </w:rPr>
      </w:pPr>
      <w:r w:rsidRPr="004640DD">
        <w:rPr>
          <w:rFonts w:ascii="Arial" w:hAnsi="Arial" w:cs="Arial"/>
          <w:sz w:val="24"/>
          <w:szCs w:val="24"/>
        </w:rPr>
        <w:t>Requires the FMC to publish online all findings of false certifications for demurrage and detention charges and any resulting penalties imposed.</w:t>
      </w:r>
    </w:p>
    <w:p w14:paraId="088CF9B6" w14:textId="77777777" w:rsidR="005D7B58" w:rsidRPr="004640DD" w:rsidRDefault="005D7B58" w:rsidP="004640DD">
      <w:pPr>
        <w:contextualSpacing/>
        <w:jc w:val="left"/>
        <w:rPr>
          <w:rFonts w:ascii="Arial" w:hAnsi="Arial" w:cs="Arial"/>
          <w:sz w:val="24"/>
          <w:szCs w:val="24"/>
        </w:rPr>
      </w:pPr>
    </w:p>
    <w:p w14:paraId="4F037453" w14:textId="4539A592" w:rsidR="007B1E3D" w:rsidRPr="004640DD" w:rsidRDefault="005D7B58" w:rsidP="004640DD">
      <w:pPr>
        <w:contextualSpacing/>
        <w:jc w:val="left"/>
        <w:rPr>
          <w:rFonts w:ascii="Arial" w:hAnsi="Arial" w:cs="Arial"/>
          <w:sz w:val="24"/>
          <w:szCs w:val="24"/>
        </w:rPr>
      </w:pPr>
      <w:r w:rsidRPr="004640DD">
        <w:rPr>
          <w:rFonts w:ascii="Arial" w:hAnsi="Arial" w:cs="Arial"/>
          <w:b/>
          <w:bCs/>
          <w:sz w:val="24"/>
          <w:szCs w:val="24"/>
          <w:u w:val="single"/>
        </w:rPr>
        <w:t>Section 5:</w:t>
      </w:r>
      <w:r w:rsidRPr="004640DD">
        <w:rPr>
          <w:rFonts w:ascii="Arial" w:hAnsi="Arial" w:cs="Arial"/>
          <w:sz w:val="24"/>
          <w:szCs w:val="24"/>
        </w:rPr>
        <w:t xml:space="preserve"> Common Carriers</w:t>
      </w:r>
    </w:p>
    <w:p w14:paraId="2D98B56B" w14:textId="6EE674BB" w:rsidR="003B3D64" w:rsidRPr="004640DD" w:rsidRDefault="003B3D64" w:rsidP="004640DD">
      <w:pPr>
        <w:pStyle w:val="ListParagraph"/>
        <w:numPr>
          <w:ilvl w:val="0"/>
          <w:numId w:val="5"/>
        </w:numPr>
        <w:jc w:val="left"/>
        <w:rPr>
          <w:rFonts w:ascii="Arial" w:hAnsi="Arial" w:cs="Arial"/>
          <w:sz w:val="24"/>
          <w:szCs w:val="24"/>
        </w:rPr>
      </w:pPr>
      <w:r w:rsidRPr="004640DD">
        <w:rPr>
          <w:rFonts w:ascii="Arial" w:hAnsi="Arial" w:cs="Arial"/>
          <w:sz w:val="24"/>
          <w:szCs w:val="24"/>
        </w:rPr>
        <w:t>Updates requirement on ocean common carriers to incorporate best practices in the shipping industry.</w:t>
      </w:r>
    </w:p>
    <w:p w14:paraId="39760624" w14:textId="77777777" w:rsidR="00EF1974" w:rsidRPr="004640DD" w:rsidRDefault="00EF1974" w:rsidP="004640DD">
      <w:pPr>
        <w:contextualSpacing/>
        <w:jc w:val="left"/>
        <w:rPr>
          <w:rFonts w:ascii="Arial" w:hAnsi="Arial" w:cs="Arial"/>
          <w:sz w:val="24"/>
          <w:szCs w:val="24"/>
        </w:rPr>
      </w:pPr>
    </w:p>
    <w:p w14:paraId="71BE93C7" w14:textId="68D18200" w:rsidR="005D7B58" w:rsidRPr="004640DD" w:rsidRDefault="00A24093" w:rsidP="004640DD">
      <w:pPr>
        <w:pStyle w:val="ListParagraph"/>
        <w:numPr>
          <w:ilvl w:val="0"/>
          <w:numId w:val="5"/>
        </w:numPr>
        <w:jc w:val="left"/>
        <w:rPr>
          <w:rFonts w:ascii="Arial" w:hAnsi="Arial" w:cs="Arial"/>
          <w:sz w:val="24"/>
          <w:szCs w:val="24"/>
        </w:rPr>
      </w:pPr>
      <w:r w:rsidRPr="004640DD">
        <w:rPr>
          <w:rFonts w:ascii="Arial" w:hAnsi="Arial" w:cs="Arial"/>
          <w:sz w:val="24"/>
          <w:szCs w:val="24"/>
        </w:rPr>
        <w:t>Requires ocean carriers or terminal operators to certify that any demurrage or detention charge complies with FMC regulations</w:t>
      </w:r>
      <w:r w:rsidR="003B3D64" w:rsidRPr="004640DD">
        <w:rPr>
          <w:rFonts w:ascii="Arial" w:hAnsi="Arial" w:cs="Arial"/>
          <w:sz w:val="24"/>
          <w:szCs w:val="24"/>
        </w:rPr>
        <w:t>, or face penalties.</w:t>
      </w:r>
    </w:p>
    <w:p w14:paraId="049F66D2" w14:textId="77777777" w:rsidR="007E4703" w:rsidRPr="004640DD" w:rsidRDefault="007E4703" w:rsidP="004640DD">
      <w:pPr>
        <w:pStyle w:val="ListParagraph"/>
        <w:rPr>
          <w:rFonts w:ascii="Arial" w:hAnsi="Arial" w:cs="Arial"/>
          <w:sz w:val="24"/>
          <w:szCs w:val="24"/>
        </w:rPr>
      </w:pPr>
    </w:p>
    <w:p w14:paraId="69307FB0" w14:textId="147131D8" w:rsidR="007E4703" w:rsidRPr="004640DD" w:rsidRDefault="007E4703" w:rsidP="004640DD">
      <w:pPr>
        <w:pStyle w:val="ListParagraph"/>
        <w:numPr>
          <w:ilvl w:val="0"/>
          <w:numId w:val="5"/>
        </w:numPr>
        <w:jc w:val="left"/>
        <w:rPr>
          <w:rFonts w:ascii="Arial" w:hAnsi="Arial" w:cs="Arial"/>
          <w:sz w:val="24"/>
          <w:szCs w:val="24"/>
        </w:rPr>
      </w:pPr>
      <w:r w:rsidRPr="004640DD">
        <w:rPr>
          <w:rFonts w:ascii="Arial" w:hAnsi="Arial" w:cs="Arial"/>
          <w:sz w:val="24"/>
          <w:szCs w:val="24"/>
        </w:rPr>
        <w:t>Effectively codifies the FMC’s “Interpretive Rule on Demurrage and Detention Under the Shipping Act” (Docket No. 19-05).</w:t>
      </w:r>
    </w:p>
    <w:p w14:paraId="69C6D0CE" w14:textId="77777777" w:rsidR="007B1E3D" w:rsidRPr="004640DD" w:rsidRDefault="007B1E3D" w:rsidP="004640DD">
      <w:pPr>
        <w:pStyle w:val="ListParagraph"/>
        <w:rPr>
          <w:rFonts w:ascii="Arial" w:hAnsi="Arial" w:cs="Arial"/>
          <w:sz w:val="24"/>
          <w:szCs w:val="24"/>
        </w:rPr>
      </w:pPr>
    </w:p>
    <w:p w14:paraId="482D3C78" w14:textId="0A75B405" w:rsidR="003B3D64" w:rsidRPr="004640DD" w:rsidRDefault="003B3D64" w:rsidP="004640DD">
      <w:pPr>
        <w:pStyle w:val="ListParagraph"/>
        <w:numPr>
          <w:ilvl w:val="0"/>
          <w:numId w:val="5"/>
        </w:numPr>
        <w:jc w:val="left"/>
        <w:rPr>
          <w:rFonts w:ascii="Arial" w:hAnsi="Arial" w:cs="Arial"/>
          <w:sz w:val="24"/>
          <w:szCs w:val="24"/>
        </w:rPr>
      </w:pPr>
      <w:r w:rsidRPr="004640DD">
        <w:rPr>
          <w:rFonts w:ascii="Arial" w:hAnsi="Arial" w:cs="Arial"/>
          <w:sz w:val="24"/>
          <w:szCs w:val="24"/>
        </w:rPr>
        <w:t>Obligates ocean carriers to adhere to minimum service standards that meet the public interest, determined by the FMC in new required rulemaking.</w:t>
      </w:r>
    </w:p>
    <w:p w14:paraId="6087D0EC" w14:textId="77777777" w:rsidR="003B3D64" w:rsidRPr="004640DD" w:rsidRDefault="003B3D64" w:rsidP="004640DD">
      <w:pPr>
        <w:contextualSpacing/>
        <w:jc w:val="left"/>
        <w:rPr>
          <w:rFonts w:ascii="Arial" w:hAnsi="Arial" w:cs="Arial"/>
          <w:sz w:val="24"/>
          <w:szCs w:val="24"/>
        </w:rPr>
      </w:pPr>
    </w:p>
    <w:p w14:paraId="2F5A15FF" w14:textId="5385451B" w:rsidR="007B1E3D" w:rsidRPr="004640DD" w:rsidRDefault="007B1E3D" w:rsidP="004640DD">
      <w:pPr>
        <w:pStyle w:val="ListParagraph"/>
        <w:numPr>
          <w:ilvl w:val="0"/>
          <w:numId w:val="5"/>
        </w:numPr>
        <w:jc w:val="left"/>
        <w:rPr>
          <w:rFonts w:ascii="Arial" w:hAnsi="Arial" w:cs="Arial"/>
          <w:sz w:val="24"/>
          <w:szCs w:val="24"/>
        </w:rPr>
      </w:pPr>
      <w:r w:rsidRPr="004640DD">
        <w:rPr>
          <w:rFonts w:ascii="Arial" w:hAnsi="Arial" w:cs="Arial"/>
          <w:sz w:val="24"/>
          <w:szCs w:val="24"/>
        </w:rPr>
        <w:t>Requires ocean carriers or marine terminal operators to maintain all records regarding invoiced demurrage or detention charges for at least 5 years and provide such records to the FMC or invoiced party on request.</w:t>
      </w:r>
    </w:p>
    <w:p w14:paraId="2E0AA2A4" w14:textId="3AB8FDC4" w:rsidR="007B1E3D" w:rsidRPr="004640DD" w:rsidRDefault="007B1E3D" w:rsidP="004640DD">
      <w:pPr>
        <w:pStyle w:val="ListParagraph"/>
        <w:jc w:val="left"/>
        <w:rPr>
          <w:rFonts w:ascii="Arial" w:hAnsi="Arial" w:cs="Arial"/>
          <w:sz w:val="24"/>
          <w:szCs w:val="24"/>
        </w:rPr>
      </w:pPr>
    </w:p>
    <w:p w14:paraId="2A99CFD4" w14:textId="558E0957" w:rsidR="007B1E3D" w:rsidRPr="004640DD" w:rsidRDefault="007B1E3D" w:rsidP="004640DD">
      <w:pPr>
        <w:pStyle w:val="ListParagraph"/>
        <w:numPr>
          <w:ilvl w:val="0"/>
          <w:numId w:val="5"/>
        </w:numPr>
        <w:jc w:val="left"/>
        <w:rPr>
          <w:rFonts w:ascii="Arial" w:hAnsi="Arial" w:cs="Arial"/>
          <w:sz w:val="24"/>
          <w:szCs w:val="24"/>
        </w:rPr>
      </w:pPr>
      <w:r w:rsidRPr="004640DD">
        <w:rPr>
          <w:rFonts w:ascii="Arial" w:hAnsi="Arial" w:cs="Arial"/>
          <w:sz w:val="24"/>
          <w:szCs w:val="24"/>
        </w:rPr>
        <w:lastRenderedPageBreak/>
        <w:t xml:space="preserve">Shifts burden of proof </w:t>
      </w:r>
      <w:r w:rsidR="007E4703" w:rsidRPr="004640DD">
        <w:rPr>
          <w:rFonts w:ascii="Arial" w:hAnsi="Arial" w:cs="Arial"/>
          <w:sz w:val="24"/>
          <w:szCs w:val="24"/>
        </w:rPr>
        <w:t xml:space="preserve">in any proceeding with the FMC regarding the </w:t>
      </w:r>
      <w:r w:rsidRPr="004640DD">
        <w:rPr>
          <w:rFonts w:ascii="Arial" w:hAnsi="Arial" w:cs="Arial"/>
          <w:sz w:val="24"/>
          <w:szCs w:val="24"/>
        </w:rPr>
        <w:t xml:space="preserve">reasonableness of demurrage or </w:t>
      </w:r>
      <w:r w:rsidR="007E4703" w:rsidRPr="004640DD">
        <w:rPr>
          <w:rFonts w:ascii="Arial" w:hAnsi="Arial" w:cs="Arial"/>
          <w:sz w:val="24"/>
          <w:szCs w:val="24"/>
        </w:rPr>
        <w:t>detention</w:t>
      </w:r>
      <w:r w:rsidRPr="004640DD">
        <w:rPr>
          <w:rFonts w:ascii="Arial" w:hAnsi="Arial" w:cs="Arial"/>
          <w:sz w:val="24"/>
          <w:szCs w:val="24"/>
        </w:rPr>
        <w:t xml:space="preserve"> charges from the invoiced party to the ocean carrier or marine terminal operator</w:t>
      </w:r>
      <w:r w:rsidR="00045F64" w:rsidRPr="004640DD">
        <w:rPr>
          <w:rFonts w:ascii="Arial" w:hAnsi="Arial" w:cs="Arial"/>
          <w:sz w:val="24"/>
          <w:szCs w:val="24"/>
        </w:rPr>
        <w:t>.</w:t>
      </w:r>
    </w:p>
    <w:p w14:paraId="45092A9E" w14:textId="77777777" w:rsidR="003B3D64" w:rsidRPr="004640DD" w:rsidRDefault="003B3D64" w:rsidP="004640DD">
      <w:pPr>
        <w:contextualSpacing/>
        <w:jc w:val="left"/>
        <w:rPr>
          <w:rFonts w:ascii="Arial" w:hAnsi="Arial" w:cs="Arial"/>
          <w:sz w:val="24"/>
          <w:szCs w:val="24"/>
        </w:rPr>
      </w:pPr>
    </w:p>
    <w:p w14:paraId="37BFD653" w14:textId="77777777" w:rsidR="003B3D64" w:rsidRPr="004640DD" w:rsidRDefault="003B3D64" w:rsidP="004640DD">
      <w:pPr>
        <w:pStyle w:val="ListParagraph"/>
        <w:numPr>
          <w:ilvl w:val="0"/>
          <w:numId w:val="5"/>
        </w:numPr>
        <w:jc w:val="left"/>
        <w:rPr>
          <w:rFonts w:ascii="Arial" w:hAnsi="Arial" w:cs="Arial"/>
          <w:sz w:val="24"/>
          <w:szCs w:val="24"/>
        </w:rPr>
      </w:pPr>
      <w:r w:rsidRPr="004640DD">
        <w:rPr>
          <w:rFonts w:ascii="Arial" w:hAnsi="Arial" w:cs="Arial"/>
          <w:sz w:val="24"/>
          <w:szCs w:val="24"/>
        </w:rPr>
        <w:t>Prohibits ocean carriers from declining opportunities for U.S. exports unreasonably, as determined by the FMC in new required rulemaking.</w:t>
      </w:r>
    </w:p>
    <w:p w14:paraId="6122D946" w14:textId="77777777" w:rsidR="00EF1974" w:rsidRPr="004640DD" w:rsidRDefault="00EF1974" w:rsidP="004640DD">
      <w:pPr>
        <w:contextualSpacing/>
        <w:jc w:val="left"/>
        <w:rPr>
          <w:rFonts w:ascii="Arial" w:hAnsi="Arial" w:cs="Arial"/>
          <w:sz w:val="24"/>
          <w:szCs w:val="24"/>
        </w:rPr>
      </w:pPr>
    </w:p>
    <w:p w14:paraId="1CD55C98" w14:textId="6C95A8B3" w:rsidR="005D7B58" w:rsidRPr="004640DD" w:rsidRDefault="005D7B58" w:rsidP="004640DD">
      <w:pPr>
        <w:contextualSpacing/>
        <w:jc w:val="left"/>
        <w:rPr>
          <w:rFonts w:ascii="Arial" w:hAnsi="Arial" w:cs="Arial"/>
          <w:sz w:val="24"/>
          <w:szCs w:val="24"/>
        </w:rPr>
      </w:pPr>
      <w:r w:rsidRPr="004640DD">
        <w:rPr>
          <w:rFonts w:ascii="Arial" w:hAnsi="Arial" w:cs="Arial"/>
          <w:b/>
          <w:bCs/>
          <w:sz w:val="24"/>
          <w:szCs w:val="24"/>
          <w:u w:val="single"/>
        </w:rPr>
        <w:t>Section 6:</w:t>
      </w:r>
      <w:r w:rsidRPr="004640DD">
        <w:rPr>
          <w:rFonts w:ascii="Arial" w:hAnsi="Arial" w:cs="Arial"/>
          <w:sz w:val="24"/>
          <w:szCs w:val="24"/>
        </w:rPr>
        <w:t xml:space="preserve"> Annual Report to Congress</w:t>
      </w:r>
    </w:p>
    <w:p w14:paraId="4475CA25" w14:textId="7037C893" w:rsidR="003B3D64" w:rsidRPr="004640DD" w:rsidRDefault="003B3D64" w:rsidP="004640DD">
      <w:pPr>
        <w:pStyle w:val="ListParagraph"/>
        <w:numPr>
          <w:ilvl w:val="0"/>
          <w:numId w:val="8"/>
        </w:numPr>
        <w:jc w:val="left"/>
        <w:rPr>
          <w:rFonts w:ascii="Arial" w:hAnsi="Arial" w:cs="Arial"/>
          <w:sz w:val="24"/>
          <w:szCs w:val="24"/>
        </w:rPr>
      </w:pPr>
      <w:r w:rsidRPr="004640DD">
        <w:rPr>
          <w:rFonts w:ascii="Arial" w:hAnsi="Arial" w:cs="Arial"/>
          <w:sz w:val="24"/>
          <w:szCs w:val="24"/>
        </w:rPr>
        <w:t>Adds reporting on anticompetitive business practices, nonreciprocal trade practices, or other factors exacerbating the United States’ trade imbalance with foreign exporting countries in the FMC’s annual report to Congress required under current law.</w:t>
      </w:r>
    </w:p>
    <w:p w14:paraId="00FCEE85" w14:textId="77777777" w:rsidR="005D7B58" w:rsidRPr="004640DD" w:rsidRDefault="005D7B58" w:rsidP="004640DD">
      <w:pPr>
        <w:contextualSpacing/>
        <w:jc w:val="left"/>
        <w:rPr>
          <w:rFonts w:ascii="Arial" w:hAnsi="Arial" w:cs="Arial"/>
          <w:sz w:val="24"/>
          <w:szCs w:val="24"/>
        </w:rPr>
      </w:pPr>
    </w:p>
    <w:p w14:paraId="4DB66EC7" w14:textId="3947ECD8" w:rsidR="005D7B58" w:rsidRPr="004640DD" w:rsidRDefault="005D7B58" w:rsidP="004640DD">
      <w:pPr>
        <w:contextualSpacing/>
        <w:jc w:val="left"/>
        <w:rPr>
          <w:rFonts w:ascii="Arial" w:hAnsi="Arial" w:cs="Arial"/>
          <w:sz w:val="24"/>
          <w:szCs w:val="24"/>
        </w:rPr>
      </w:pPr>
      <w:r w:rsidRPr="004640DD">
        <w:rPr>
          <w:rFonts w:ascii="Arial" w:hAnsi="Arial" w:cs="Arial"/>
          <w:b/>
          <w:bCs/>
          <w:sz w:val="24"/>
          <w:szCs w:val="24"/>
          <w:u w:val="single"/>
        </w:rPr>
        <w:t>Section 7:</w:t>
      </w:r>
      <w:r w:rsidRPr="004640DD">
        <w:rPr>
          <w:rFonts w:ascii="Arial" w:hAnsi="Arial" w:cs="Arial"/>
          <w:sz w:val="24"/>
          <w:szCs w:val="24"/>
        </w:rPr>
        <w:t xml:space="preserve"> Assessment of Penalties; Reparations</w:t>
      </w:r>
    </w:p>
    <w:p w14:paraId="1755FCDA" w14:textId="5CEA8CC0" w:rsidR="00745680" w:rsidRPr="004640DD" w:rsidRDefault="00745680" w:rsidP="004640DD">
      <w:pPr>
        <w:pStyle w:val="ListParagraph"/>
        <w:numPr>
          <w:ilvl w:val="0"/>
          <w:numId w:val="3"/>
        </w:numPr>
        <w:jc w:val="left"/>
        <w:rPr>
          <w:rFonts w:ascii="Arial" w:hAnsi="Arial" w:cs="Arial"/>
          <w:sz w:val="24"/>
          <w:szCs w:val="24"/>
        </w:rPr>
      </w:pPr>
      <w:r w:rsidRPr="004640DD">
        <w:rPr>
          <w:rFonts w:ascii="Arial" w:hAnsi="Arial" w:cs="Arial"/>
          <w:sz w:val="24"/>
          <w:szCs w:val="24"/>
        </w:rPr>
        <w:t xml:space="preserve">Authorizes FMC to pay out fines and penalties as de facto reparations to shippers, </w:t>
      </w:r>
      <w:r w:rsidR="003B3D64" w:rsidRPr="004640DD">
        <w:rPr>
          <w:rFonts w:ascii="Arial" w:hAnsi="Arial" w:cs="Arial"/>
          <w:sz w:val="24"/>
          <w:szCs w:val="24"/>
        </w:rPr>
        <w:t xml:space="preserve">on a case-by-case basis </w:t>
      </w:r>
      <w:r w:rsidRPr="004640DD">
        <w:rPr>
          <w:rFonts w:ascii="Arial" w:hAnsi="Arial" w:cs="Arial"/>
          <w:sz w:val="24"/>
          <w:szCs w:val="24"/>
        </w:rPr>
        <w:t>if in the public interest</w:t>
      </w:r>
      <w:r w:rsidR="003B3D64" w:rsidRPr="004640DD">
        <w:rPr>
          <w:rFonts w:ascii="Arial" w:hAnsi="Arial" w:cs="Arial"/>
          <w:sz w:val="24"/>
          <w:szCs w:val="24"/>
        </w:rPr>
        <w:t>.</w:t>
      </w:r>
    </w:p>
    <w:p w14:paraId="084CA183" w14:textId="77777777" w:rsidR="005D7B58" w:rsidRPr="004640DD" w:rsidRDefault="005D7B58" w:rsidP="004640DD">
      <w:pPr>
        <w:contextualSpacing/>
        <w:jc w:val="left"/>
        <w:rPr>
          <w:rFonts w:ascii="Arial" w:hAnsi="Arial" w:cs="Arial"/>
          <w:b/>
          <w:bCs/>
          <w:sz w:val="24"/>
          <w:szCs w:val="24"/>
          <w:u w:val="single"/>
        </w:rPr>
      </w:pPr>
    </w:p>
    <w:p w14:paraId="57408484" w14:textId="66A3B47A" w:rsidR="005D7B58" w:rsidRPr="004640DD" w:rsidRDefault="005D7B58" w:rsidP="004640DD">
      <w:pPr>
        <w:contextualSpacing/>
        <w:jc w:val="left"/>
        <w:rPr>
          <w:rFonts w:ascii="Arial" w:hAnsi="Arial" w:cs="Arial"/>
          <w:sz w:val="24"/>
          <w:szCs w:val="24"/>
        </w:rPr>
      </w:pPr>
      <w:r w:rsidRPr="004640DD">
        <w:rPr>
          <w:rFonts w:ascii="Arial" w:hAnsi="Arial" w:cs="Arial"/>
          <w:b/>
          <w:bCs/>
          <w:sz w:val="24"/>
          <w:szCs w:val="24"/>
          <w:u w:val="single"/>
        </w:rPr>
        <w:t>Section 8:</w:t>
      </w:r>
      <w:r w:rsidRPr="004640DD">
        <w:rPr>
          <w:rFonts w:ascii="Arial" w:hAnsi="Arial" w:cs="Arial"/>
          <w:sz w:val="24"/>
          <w:szCs w:val="24"/>
        </w:rPr>
        <w:t xml:space="preserve"> Data Collection</w:t>
      </w:r>
    </w:p>
    <w:p w14:paraId="314F8B2E" w14:textId="44A571ED" w:rsidR="00634136" w:rsidRPr="004640DD" w:rsidRDefault="004640DD" w:rsidP="004640DD">
      <w:pPr>
        <w:pStyle w:val="ListParagraph"/>
        <w:numPr>
          <w:ilvl w:val="0"/>
          <w:numId w:val="3"/>
        </w:numPr>
        <w:jc w:val="left"/>
        <w:rPr>
          <w:rFonts w:ascii="Arial" w:hAnsi="Arial" w:cs="Arial"/>
          <w:sz w:val="24"/>
          <w:szCs w:val="24"/>
        </w:rPr>
      </w:pPr>
      <w:r w:rsidRPr="004640DD">
        <w:rPr>
          <w:rFonts w:ascii="Arial" w:hAnsi="Arial" w:cs="Arial"/>
          <w:sz w:val="24"/>
          <w:szCs w:val="24"/>
        </w:rPr>
        <w:t>Requires ocean common carriers to report to the FMC each calendar quarter on total import/export tonnage and twenty-foot equivalent units (loaded/empty) per vessel that makes port in the United States.</w:t>
      </w:r>
    </w:p>
    <w:p w14:paraId="277996BE" w14:textId="77777777" w:rsidR="005D7B58" w:rsidRPr="004640DD" w:rsidRDefault="005D7B58" w:rsidP="004640DD">
      <w:pPr>
        <w:contextualSpacing/>
        <w:jc w:val="left"/>
        <w:rPr>
          <w:rFonts w:ascii="Arial" w:hAnsi="Arial" w:cs="Arial"/>
          <w:sz w:val="24"/>
          <w:szCs w:val="24"/>
        </w:rPr>
      </w:pPr>
    </w:p>
    <w:p w14:paraId="45F60C81" w14:textId="04A3BFF6" w:rsidR="005D7B58" w:rsidRPr="004640DD" w:rsidRDefault="005D7B58" w:rsidP="004640DD">
      <w:pPr>
        <w:contextualSpacing/>
        <w:jc w:val="left"/>
        <w:rPr>
          <w:rFonts w:ascii="Arial" w:hAnsi="Arial" w:cs="Arial"/>
          <w:sz w:val="24"/>
          <w:szCs w:val="24"/>
        </w:rPr>
      </w:pPr>
      <w:r w:rsidRPr="004640DD">
        <w:rPr>
          <w:rFonts w:ascii="Arial" w:hAnsi="Arial" w:cs="Arial"/>
          <w:b/>
          <w:bCs/>
          <w:sz w:val="24"/>
          <w:szCs w:val="24"/>
          <w:u w:val="single"/>
        </w:rPr>
        <w:t>Section 9:</w:t>
      </w:r>
      <w:r w:rsidRPr="004640DD">
        <w:rPr>
          <w:rFonts w:ascii="Arial" w:hAnsi="Arial" w:cs="Arial"/>
          <w:sz w:val="24"/>
          <w:szCs w:val="24"/>
        </w:rPr>
        <w:t xml:space="preserve"> Complaints</w:t>
      </w:r>
    </w:p>
    <w:p w14:paraId="3D2B812D" w14:textId="224C0C25" w:rsidR="007B1E3D" w:rsidRPr="004640DD" w:rsidRDefault="007B1E3D" w:rsidP="004640DD">
      <w:pPr>
        <w:pStyle w:val="ListParagraph"/>
        <w:numPr>
          <w:ilvl w:val="0"/>
          <w:numId w:val="3"/>
        </w:numPr>
        <w:jc w:val="left"/>
        <w:rPr>
          <w:rFonts w:ascii="Arial" w:hAnsi="Arial" w:cs="Arial"/>
          <w:sz w:val="24"/>
          <w:szCs w:val="24"/>
        </w:rPr>
      </w:pPr>
      <w:r w:rsidRPr="004640DD">
        <w:rPr>
          <w:rFonts w:ascii="Arial" w:hAnsi="Arial" w:cs="Arial"/>
          <w:sz w:val="24"/>
          <w:szCs w:val="24"/>
        </w:rPr>
        <w:t>Permits third-party challenges to anticompetitive agreements for complaints filed with the FMC</w:t>
      </w:r>
    </w:p>
    <w:p w14:paraId="5A7AB271" w14:textId="77777777" w:rsidR="007B1E3D" w:rsidRPr="004640DD" w:rsidRDefault="007B1E3D" w:rsidP="004640DD">
      <w:pPr>
        <w:pStyle w:val="ListParagraph"/>
        <w:jc w:val="left"/>
        <w:rPr>
          <w:rFonts w:ascii="Arial" w:hAnsi="Arial" w:cs="Arial"/>
          <w:sz w:val="24"/>
          <w:szCs w:val="24"/>
        </w:rPr>
      </w:pPr>
    </w:p>
    <w:p w14:paraId="2C0375C6" w14:textId="2E3833E4" w:rsidR="00EF1974" w:rsidRPr="004640DD" w:rsidRDefault="007B3B52" w:rsidP="004640DD">
      <w:pPr>
        <w:pStyle w:val="ListParagraph"/>
        <w:numPr>
          <w:ilvl w:val="0"/>
          <w:numId w:val="3"/>
        </w:numPr>
        <w:jc w:val="left"/>
        <w:rPr>
          <w:rFonts w:ascii="Arial" w:hAnsi="Arial" w:cs="Arial"/>
          <w:sz w:val="24"/>
          <w:szCs w:val="24"/>
        </w:rPr>
      </w:pPr>
      <w:r w:rsidRPr="004640DD">
        <w:rPr>
          <w:rFonts w:ascii="Arial" w:hAnsi="Arial" w:cs="Arial"/>
          <w:sz w:val="24"/>
          <w:szCs w:val="24"/>
        </w:rPr>
        <w:t>Establishes</w:t>
      </w:r>
      <w:r w:rsidR="00745680" w:rsidRPr="004640DD">
        <w:rPr>
          <w:rFonts w:ascii="Arial" w:hAnsi="Arial" w:cs="Arial"/>
          <w:sz w:val="24"/>
          <w:szCs w:val="24"/>
        </w:rPr>
        <w:t xml:space="preserve"> new, separate process for addressing demurrage and detention complaints, allowing the FMC to take a more active role in investigating such complaints. Currently, many </w:t>
      </w:r>
      <w:r w:rsidRPr="004640DD">
        <w:rPr>
          <w:rFonts w:ascii="Arial" w:hAnsi="Arial" w:cs="Arial"/>
          <w:sz w:val="24"/>
          <w:szCs w:val="24"/>
        </w:rPr>
        <w:t xml:space="preserve">shippers </w:t>
      </w:r>
      <w:r w:rsidR="00745680" w:rsidRPr="004640DD">
        <w:rPr>
          <w:rFonts w:ascii="Arial" w:hAnsi="Arial" w:cs="Arial"/>
          <w:sz w:val="24"/>
          <w:szCs w:val="24"/>
        </w:rPr>
        <w:t xml:space="preserve">are </w:t>
      </w:r>
      <w:r w:rsidRPr="004640DD">
        <w:rPr>
          <w:rFonts w:ascii="Arial" w:hAnsi="Arial" w:cs="Arial"/>
          <w:sz w:val="24"/>
          <w:szCs w:val="24"/>
        </w:rPr>
        <w:t>reluctant to</w:t>
      </w:r>
      <w:r w:rsidR="00745680" w:rsidRPr="004640DD">
        <w:rPr>
          <w:rFonts w:ascii="Arial" w:hAnsi="Arial" w:cs="Arial"/>
          <w:sz w:val="24"/>
          <w:szCs w:val="24"/>
        </w:rPr>
        <w:t xml:space="preserve"> fil</w:t>
      </w:r>
      <w:r w:rsidRPr="004640DD">
        <w:rPr>
          <w:rFonts w:ascii="Arial" w:hAnsi="Arial" w:cs="Arial"/>
          <w:sz w:val="24"/>
          <w:szCs w:val="24"/>
        </w:rPr>
        <w:t xml:space="preserve">e </w:t>
      </w:r>
      <w:r w:rsidR="00745680" w:rsidRPr="004640DD">
        <w:rPr>
          <w:rFonts w:ascii="Arial" w:hAnsi="Arial" w:cs="Arial"/>
          <w:sz w:val="24"/>
          <w:szCs w:val="24"/>
        </w:rPr>
        <w:t>complaints due to the complexity, expense, and time involved with the adjudication of such complaints</w:t>
      </w:r>
      <w:r w:rsidR="00EF1974" w:rsidRPr="004640DD">
        <w:rPr>
          <w:rFonts w:ascii="Arial" w:hAnsi="Arial" w:cs="Arial"/>
          <w:sz w:val="24"/>
          <w:szCs w:val="24"/>
        </w:rPr>
        <w:t>.</w:t>
      </w:r>
    </w:p>
    <w:p w14:paraId="1782DB82" w14:textId="4498D34A" w:rsidR="005D7B58" w:rsidRPr="004640DD" w:rsidRDefault="005D7B58" w:rsidP="004640DD">
      <w:pPr>
        <w:contextualSpacing/>
        <w:jc w:val="left"/>
        <w:rPr>
          <w:rFonts w:ascii="Arial" w:hAnsi="Arial" w:cs="Arial"/>
          <w:sz w:val="24"/>
          <w:szCs w:val="24"/>
        </w:rPr>
      </w:pPr>
    </w:p>
    <w:p w14:paraId="6ADF7205" w14:textId="0D307865" w:rsidR="005D7B58" w:rsidRPr="004640DD" w:rsidRDefault="005D7B58" w:rsidP="004640DD">
      <w:pPr>
        <w:contextualSpacing/>
        <w:jc w:val="left"/>
        <w:rPr>
          <w:rFonts w:ascii="Arial" w:hAnsi="Arial" w:cs="Arial"/>
          <w:sz w:val="24"/>
          <w:szCs w:val="24"/>
        </w:rPr>
      </w:pPr>
      <w:r w:rsidRPr="004640DD">
        <w:rPr>
          <w:rFonts w:ascii="Arial" w:hAnsi="Arial" w:cs="Arial"/>
          <w:b/>
          <w:bCs/>
          <w:sz w:val="24"/>
          <w:szCs w:val="24"/>
          <w:u w:val="single"/>
        </w:rPr>
        <w:t>Section 10:</w:t>
      </w:r>
      <w:r w:rsidRPr="004640DD">
        <w:rPr>
          <w:rFonts w:ascii="Arial" w:hAnsi="Arial" w:cs="Arial"/>
          <w:sz w:val="24"/>
          <w:szCs w:val="24"/>
        </w:rPr>
        <w:t xml:space="preserve"> Investigations</w:t>
      </w:r>
    </w:p>
    <w:p w14:paraId="231CCB3B" w14:textId="304175B2" w:rsidR="004640DD" w:rsidRPr="004640DD" w:rsidRDefault="004640DD" w:rsidP="004640DD">
      <w:pPr>
        <w:pStyle w:val="ListParagraph"/>
        <w:numPr>
          <w:ilvl w:val="0"/>
          <w:numId w:val="3"/>
        </w:numPr>
        <w:jc w:val="left"/>
        <w:rPr>
          <w:rFonts w:ascii="Arial" w:hAnsi="Arial" w:cs="Arial"/>
          <w:sz w:val="24"/>
          <w:szCs w:val="24"/>
        </w:rPr>
      </w:pPr>
      <w:r w:rsidRPr="004640DD">
        <w:rPr>
          <w:rFonts w:ascii="Arial" w:hAnsi="Arial" w:cs="Arial"/>
          <w:sz w:val="24"/>
          <w:szCs w:val="24"/>
        </w:rPr>
        <w:t>Authorizes the FMC to self-initiate investigations of carrier practices and apply enforcement measures, as appropriate.</w:t>
      </w:r>
    </w:p>
    <w:p w14:paraId="17876D1F" w14:textId="77777777" w:rsidR="005D7B58" w:rsidRPr="004640DD" w:rsidRDefault="005D7B58" w:rsidP="004640DD">
      <w:pPr>
        <w:contextualSpacing/>
        <w:jc w:val="left"/>
        <w:rPr>
          <w:rFonts w:ascii="Arial" w:hAnsi="Arial" w:cs="Arial"/>
          <w:sz w:val="24"/>
          <w:szCs w:val="24"/>
        </w:rPr>
      </w:pPr>
    </w:p>
    <w:p w14:paraId="416C6C3C" w14:textId="3235C451" w:rsidR="005D7B58" w:rsidRPr="004640DD" w:rsidRDefault="005D7B58" w:rsidP="004640DD">
      <w:pPr>
        <w:contextualSpacing/>
        <w:jc w:val="left"/>
        <w:rPr>
          <w:rFonts w:ascii="Arial" w:hAnsi="Arial" w:cs="Arial"/>
          <w:sz w:val="24"/>
          <w:szCs w:val="24"/>
        </w:rPr>
      </w:pPr>
      <w:r w:rsidRPr="004640DD">
        <w:rPr>
          <w:rFonts w:ascii="Arial" w:hAnsi="Arial" w:cs="Arial"/>
          <w:b/>
          <w:bCs/>
          <w:sz w:val="24"/>
          <w:szCs w:val="24"/>
          <w:u w:val="single"/>
        </w:rPr>
        <w:t>Section 11:</w:t>
      </w:r>
      <w:r w:rsidRPr="004640DD">
        <w:rPr>
          <w:rFonts w:ascii="Arial" w:hAnsi="Arial" w:cs="Arial"/>
          <w:sz w:val="24"/>
          <w:szCs w:val="24"/>
        </w:rPr>
        <w:t xml:space="preserve"> Injunctive Relief</w:t>
      </w:r>
    </w:p>
    <w:p w14:paraId="53B91D09" w14:textId="4F8C971E" w:rsidR="00D0026D" w:rsidRPr="004640DD" w:rsidRDefault="007B1E3D" w:rsidP="004640DD">
      <w:pPr>
        <w:pStyle w:val="ListParagraph"/>
        <w:numPr>
          <w:ilvl w:val="0"/>
          <w:numId w:val="6"/>
        </w:numPr>
        <w:jc w:val="left"/>
        <w:rPr>
          <w:rFonts w:ascii="Arial" w:hAnsi="Arial" w:cs="Arial"/>
          <w:sz w:val="24"/>
          <w:szCs w:val="24"/>
        </w:rPr>
      </w:pPr>
      <w:r w:rsidRPr="004640DD">
        <w:rPr>
          <w:rFonts w:ascii="Arial" w:hAnsi="Arial" w:cs="Arial"/>
          <w:sz w:val="24"/>
          <w:szCs w:val="24"/>
        </w:rPr>
        <w:t>P</w:t>
      </w:r>
      <w:r w:rsidR="00D0026D" w:rsidRPr="004640DD">
        <w:rPr>
          <w:rFonts w:ascii="Arial" w:hAnsi="Arial" w:cs="Arial"/>
          <w:sz w:val="24"/>
          <w:szCs w:val="24"/>
        </w:rPr>
        <w:t>ermit</w:t>
      </w:r>
      <w:r w:rsidRPr="004640DD">
        <w:rPr>
          <w:rFonts w:ascii="Arial" w:hAnsi="Arial" w:cs="Arial"/>
          <w:sz w:val="24"/>
          <w:szCs w:val="24"/>
        </w:rPr>
        <w:t>s</w:t>
      </w:r>
      <w:r w:rsidR="00D0026D" w:rsidRPr="004640DD">
        <w:rPr>
          <w:rFonts w:ascii="Arial" w:hAnsi="Arial" w:cs="Arial"/>
          <w:sz w:val="24"/>
          <w:szCs w:val="24"/>
        </w:rPr>
        <w:t xml:space="preserve"> third</w:t>
      </w:r>
      <w:r w:rsidRPr="004640DD">
        <w:rPr>
          <w:rFonts w:ascii="Arial" w:hAnsi="Arial" w:cs="Arial"/>
          <w:sz w:val="24"/>
          <w:szCs w:val="24"/>
        </w:rPr>
        <w:t>-</w:t>
      </w:r>
      <w:r w:rsidR="00D0026D" w:rsidRPr="004640DD">
        <w:rPr>
          <w:rFonts w:ascii="Arial" w:hAnsi="Arial" w:cs="Arial"/>
          <w:sz w:val="24"/>
          <w:szCs w:val="24"/>
        </w:rPr>
        <w:t xml:space="preserve">party intervenors in court proceedings initiated by the </w:t>
      </w:r>
      <w:r w:rsidRPr="004640DD">
        <w:rPr>
          <w:rFonts w:ascii="Arial" w:hAnsi="Arial" w:cs="Arial"/>
          <w:sz w:val="24"/>
          <w:szCs w:val="24"/>
        </w:rPr>
        <w:t>FMC seeking injunctive relief against agreements that reduce competition in the ocean shipping industry.</w:t>
      </w:r>
    </w:p>
    <w:p w14:paraId="09D25997" w14:textId="77777777" w:rsidR="005D7B58" w:rsidRPr="004640DD" w:rsidRDefault="005D7B58" w:rsidP="004640DD">
      <w:pPr>
        <w:contextualSpacing/>
        <w:jc w:val="left"/>
        <w:rPr>
          <w:rFonts w:ascii="Arial" w:hAnsi="Arial" w:cs="Arial"/>
          <w:sz w:val="24"/>
          <w:szCs w:val="24"/>
        </w:rPr>
      </w:pPr>
    </w:p>
    <w:p w14:paraId="052DB0B6" w14:textId="47178F16" w:rsidR="005D7B58" w:rsidRPr="004640DD" w:rsidRDefault="005D7B58" w:rsidP="004640DD">
      <w:pPr>
        <w:contextualSpacing/>
        <w:jc w:val="left"/>
        <w:rPr>
          <w:rFonts w:ascii="Arial" w:hAnsi="Arial" w:cs="Arial"/>
          <w:sz w:val="24"/>
          <w:szCs w:val="24"/>
        </w:rPr>
      </w:pPr>
      <w:r w:rsidRPr="004640DD">
        <w:rPr>
          <w:rFonts w:ascii="Arial" w:hAnsi="Arial" w:cs="Arial"/>
          <w:b/>
          <w:bCs/>
          <w:sz w:val="24"/>
          <w:szCs w:val="24"/>
          <w:u w:val="single"/>
        </w:rPr>
        <w:t>Section 12:</w:t>
      </w:r>
      <w:r w:rsidRPr="004640DD">
        <w:rPr>
          <w:rFonts w:ascii="Arial" w:hAnsi="Arial" w:cs="Arial"/>
          <w:sz w:val="24"/>
          <w:szCs w:val="24"/>
        </w:rPr>
        <w:t xml:space="preserve"> National Shipper Advisory Committee</w:t>
      </w:r>
    </w:p>
    <w:p w14:paraId="6DD9069F" w14:textId="2E474705" w:rsidR="005D7B58" w:rsidRPr="004640DD" w:rsidRDefault="005D7B58" w:rsidP="004640DD">
      <w:pPr>
        <w:pStyle w:val="ListParagraph"/>
        <w:numPr>
          <w:ilvl w:val="0"/>
          <w:numId w:val="1"/>
        </w:numPr>
        <w:jc w:val="left"/>
        <w:rPr>
          <w:rFonts w:ascii="Arial" w:hAnsi="Arial" w:cs="Arial"/>
          <w:sz w:val="24"/>
          <w:szCs w:val="24"/>
        </w:rPr>
      </w:pPr>
      <w:r w:rsidRPr="004640DD">
        <w:rPr>
          <w:rFonts w:ascii="Arial" w:hAnsi="Arial" w:cs="Arial"/>
          <w:sz w:val="24"/>
          <w:szCs w:val="24"/>
        </w:rPr>
        <w:t xml:space="preserve">Specifies that newly </w:t>
      </w:r>
      <w:r w:rsidR="007F0961" w:rsidRPr="004640DD">
        <w:rPr>
          <w:rFonts w:ascii="Arial" w:hAnsi="Arial" w:cs="Arial"/>
          <w:sz w:val="24"/>
          <w:szCs w:val="24"/>
        </w:rPr>
        <w:t>established</w:t>
      </w:r>
      <w:r w:rsidRPr="004640DD">
        <w:rPr>
          <w:rFonts w:ascii="Arial" w:hAnsi="Arial" w:cs="Arial"/>
          <w:sz w:val="24"/>
          <w:szCs w:val="24"/>
        </w:rPr>
        <w:t xml:space="preserve"> </w:t>
      </w:r>
      <w:r w:rsidR="007F0961" w:rsidRPr="004640DD">
        <w:rPr>
          <w:rFonts w:ascii="Arial" w:hAnsi="Arial" w:cs="Arial"/>
          <w:sz w:val="24"/>
          <w:szCs w:val="24"/>
        </w:rPr>
        <w:t>Advisory Committee may include customs brokers and freight forwarders who participate in ocean shipping commerce.</w:t>
      </w:r>
    </w:p>
    <w:p w14:paraId="5C021BF3" w14:textId="77777777" w:rsidR="005D7B58" w:rsidRPr="004640DD" w:rsidRDefault="005D7B58" w:rsidP="004640DD">
      <w:pPr>
        <w:contextualSpacing/>
        <w:jc w:val="left"/>
        <w:rPr>
          <w:rFonts w:ascii="Arial" w:hAnsi="Arial" w:cs="Arial"/>
          <w:sz w:val="24"/>
          <w:szCs w:val="24"/>
        </w:rPr>
      </w:pPr>
    </w:p>
    <w:p w14:paraId="1FF932E2" w14:textId="7F7C64F4" w:rsidR="005D7B58" w:rsidRPr="004640DD" w:rsidRDefault="005D7B58" w:rsidP="004640DD">
      <w:pPr>
        <w:contextualSpacing/>
        <w:jc w:val="left"/>
        <w:rPr>
          <w:rFonts w:ascii="Arial" w:hAnsi="Arial" w:cs="Arial"/>
          <w:sz w:val="24"/>
          <w:szCs w:val="24"/>
        </w:rPr>
      </w:pPr>
      <w:r w:rsidRPr="004640DD">
        <w:rPr>
          <w:rFonts w:ascii="Arial" w:hAnsi="Arial" w:cs="Arial"/>
          <w:b/>
          <w:bCs/>
          <w:sz w:val="24"/>
          <w:szCs w:val="24"/>
          <w:u w:val="single"/>
        </w:rPr>
        <w:t>Section 13:</w:t>
      </w:r>
      <w:r w:rsidRPr="004640DD">
        <w:rPr>
          <w:rFonts w:ascii="Arial" w:hAnsi="Arial" w:cs="Arial"/>
          <w:sz w:val="24"/>
          <w:szCs w:val="24"/>
        </w:rPr>
        <w:t xml:space="preserve"> Technical Amendments</w:t>
      </w:r>
    </w:p>
    <w:p w14:paraId="6239D22F" w14:textId="6BDBF7C9" w:rsidR="007F0961" w:rsidRPr="004640DD" w:rsidRDefault="007F0961" w:rsidP="004640DD">
      <w:pPr>
        <w:pStyle w:val="ListParagraph"/>
        <w:numPr>
          <w:ilvl w:val="0"/>
          <w:numId w:val="1"/>
        </w:numPr>
        <w:jc w:val="left"/>
        <w:rPr>
          <w:rFonts w:ascii="Arial" w:hAnsi="Arial" w:cs="Arial"/>
          <w:sz w:val="24"/>
          <w:szCs w:val="24"/>
        </w:rPr>
      </w:pPr>
      <w:r w:rsidRPr="004640DD">
        <w:rPr>
          <w:rFonts w:ascii="Arial" w:hAnsi="Arial" w:cs="Arial"/>
          <w:sz w:val="24"/>
          <w:szCs w:val="24"/>
        </w:rPr>
        <w:t xml:space="preserve">Corrects typos, errors, and outdated citations in current law pertaining to the Federal Maritime Commission </w:t>
      </w:r>
      <w:r w:rsidR="004640DD" w:rsidRPr="004640DD">
        <w:rPr>
          <w:rFonts w:ascii="Arial" w:hAnsi="Arial" w:cs="Arial"/>
          <w:sz w:val="24"/>
          <w:szCs w:val="24"/>
        </w:rPr>
        <w:t xml:space="preserve">or the </w:t>
      </w:r>
      <w:r w:rsidRPr="004640DD">
        <w:rPr>
          <w:rFonts w:ascii="Arial" w:hAnsi="Arial" w:cs="Arial"/>
          <w:sz w:val="24"/>
          <w:szCs w:val="24"/>
        </w:rPr>
        <w:t>Shipping Act</w:t>
      </w:r>
      <w:r w:rsidR="004640DD" w:rsidRPr="004640DD">
        <w:rPr>
          <w:rFonts w:ascii="Arial" w:hAnsi="Arial" w:cs="Arial"/>
          <w:sz w:val="24"/>
          <w:szCs w:val="24"/>
        </w:rPr>
        <w:t>.</w:t>
      </w:r>
    </w:p>
    <w:sectPr w:rsidR="007F0961" w:rsidRPr="004640DD" w:rsidSect="005D7B58">
      <w:headerReference w:type="default" r:id="rId7"/>
      <w:footerReference w:type="default" r:id="rId8"/>
      <w:pgSz w:w="12240" w:h="15840"/>
      <w:pgMar w:top="720" w:right="720" w:bottom="720" w:left="720" w:header="720" w:footer="720"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905B3" w14:textId="77777777" w:rsidR="001E0FC2" w:rsidRDefault="001E0FC2" w:rsidP="005D7B58">
      <w:r>
        <w:separator/>
      </w:r>
    </w:p>
  </w:endnote>
  <w:endnote w:type="continuationSeparator" w:id="0">
    <w:p w14:paraId="2A5B70B9" w14:textId="77777777" w:rsidR="001E0FC2" w:rsidRDefault="001E0FC2" w:rsidP="005D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2040572062"/>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585D3542" w14:textId="7F107337" w:rsidR="005D7B58" w:rsidRPr="004640DD" w:rsidRDefault="004640DD" w:rsidP="004640DD">
            <w:pPr>
              <w:pStyle w:val="Footer"/>
              <w:jc w:val="right"/>
              <w:rPr>
                <w:rFonts w:ascii="Arial" w:hAnsi="Arial" w:cs="Arial"/>
                <w:sz w:val="22"/>
                <w:szCs w:val="22"/>
              </w:rPr>
            </w:pPr>
            <w:r w:rsidRPr="004640DD">
              <w:rPr>
                <w:rFonts w:ascii="Arial" w:hAnsi="Arial" w:cs="Arial"/>
                <w:sz w:val="22"/>
                <w:szCs w:val="22"/>
              </w:rPr>
              <w:t xml:space="preserve">Page </w:t>
            </w:r>
            <w:r w:rsidRPr="004640DD">
              <w:rPr>
                <w:rFonts w:ascii="Arial" w:hAnsi="Arial" w:cs="Arial"/>
                <w:b/>
                <w:bCs/>
                <w:sz w:val="22"/>
                <w:szCs w:val="22"/>
              </w:rPr>
              <w:fldChar w:fldCharType="begin"/>
            </w:r>
            <w:r w:rsidRPr="004640DD">
              <w:rPr>
                <w:rFonts w:ascii="Arial" w:hAnsi="Arial" w:cs="Arial"/>
                <w:b/>
                <w:bCs/>
                <w:sz w:val="22"/>
                <w:szCs w:val="22"/>
              </w:rPr>
              <w:instrText xml:space="preserve"> PAGE </w:instrText>
            </w:r>
            <w:r w:rsidRPr="004640DD">
              <w:rPr>
                <w:rFonts w:ascii="Arial" w:hAnsi="Arial" w:cs="Arial"/>
                <w:b/>
                <w:bCs/>
                <w:sz w:val="22"/>
                <w:szCs w:val="22"/>
              </w:rPr>
              <w:fldChar w:fldCharType="separate"/>
            </w:r>
            <w:r w:rsidRPr="004640DD">
              <w:rPr>
                <w:rFonts w:ascii="Arial" w:hAnsi="Arial" w:cs="Arial"/>
                <w:b/>
                <w:bCs/>
                <w:noProof/>
                <w:sz w:val="22"/>
                <w:szCs w:val="22"/>
              </w:rPr>
              <w:t>2</w:t>
            </w:r>
            <w:r w:rsidRPr="004640DD">
              <w:rPr>
                <w:rFonts w:ascii="Arial" w:hAnsi="Arial" w:cs="Arial"/>
                <w:b/>
                <w:bCs/>
                <w:sz w:val="22"/>
                <w:szCs w:val="22"/>
              </w:rPr>
              <w:fldChar w:fldCharType="end"/>
            </w:r>
            <w:r w:rsidRPr="004640DD">
              <w:rPr>
                <w:rFonts w:ascii="Arial" w:hAnsi="Arial" w:cs="Arial"/>
                <w:sz w:val="22"/>
                <w:szCs w:val="22"/>
              </w:rPr>
              <w:t xml:space="preserve"> of </w:t>
            </w:r>
            <w:r w:rsidRPr="004640DD">
              <w:rPr>
                <w:rFonts w:ascii="Arial" w:hAnsi="Arial" w:cs="Arial"/>
                <w:b/>
                <w:bCs/>
                <w:sz w:val="22"/>
                <w:szCs w:val="22"/>
              </w:rPr>
              <w:fldChar w:fldCharType="begin"/>
            </w:r>
            <w:r w:rsidRPr="004640DD">
              <w:rPr>
                <w:rFonts w:ascii="Arial" w:hAnsi="Arial" w:cs="Arial"/>
                <w:b/>
                <w:bCs/>
                <w:sz w:val="22"/>
                <w:szCs w:val="22"/>
              </w:rPr>
              <w:instrText xml:space="preserve"> NUMPAGES  </w:instrText>
            </w:r>
            <w:r w:rsidRPr="004640DD">
              <w:rPr>
                <w:rFonts w:ascii="Arial" w:hAnsi="Arial" w:cs="Arial"/>
                <w:b/>
                <w:bCs/>
                <w:sz w:val="22"/>
                <w:szCs w:val="22"/>
              </w:rPr>
              <w:fldChar w:fldCharType="separate"/>
            </w:r>
            <w:r w:rsidRPr="004640DD">
              <w:rPr>
                <w:rFonts w:ascii="Arial" w:hAnsi="Arial" w:cs="Arial"/>
                <w:b/>
                <w:bCs/>
                <w:noProof/>
                <w:sz w:val="22"/>
                <w:szCs w:val="22"/>
              </w:rPr>
              <w:t>2</w:t>
            </w:r>
            <w:r w:rsidRPr="004640DD">
              <w:rPr>
                <w:rFonts w:ascii="Arial" w:hAnsi="Arial" w:cs="Arial"/>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4042" w14:textId="77777777" w:rsidR="001E0FC2" w:rsidRDefault="001E0FC2" w:rsidP="005D7B58">
      <w:r>
        <w:separator/>
      </w:r>
    </w:p>
  </w:footnote>
  <w:footnote w:type="continuationSeparator" w:id="0">
    <w:p w14:paraId="18172FE4" w14:textId="77777777" w:rsidR="001E0FC2" w:rsidRDefault="001E0FC2" w:rsidP="005D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490812"/>
      <w:docPartObj>
        <w:docPartGallery w:val="Watermarks"/>
        <w:docPartUnique/>
      </w:docPartObj>
    </w:sdtPr>
    <w:sdtEndPr/>
    <w:sdtContent>
      <w:p w14:paraId="0287A686" w14:textId="29038E04" w:rsidR="005D7B58" w:rsidRDefault="001E0FC2">
        <w:pPr>
          <w:pStyle w:val="Header"/>
        </w:pPr>
        <w:r>
          <w:rPr>
            <w:noProof/>
          </w:rPr>
          <w:pict w14:anchorId="45D7D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542F6"/>
    <w:multiLevelType w:val="hybridMultilevel"/>
    <w:tmpl w:val="4CFC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F5FB2"/>
    <w:multiLevelType w:val="hybridMultilevel"/>
    <w:tmpl w:val="BE80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72CA2"/>
    <w:multiLevelType w:val="hybridMultilevel"/>
    <w:tmpl w:val="09FE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334F5"/>
    <w:multiLevelType w:val="hybridMultilevel"/>
    <w:tmpl w:val="A940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10AFB"/>
    <w:multiLevelType w:val="hybridMultilevel"/>
    <w:tmpl w:val="A73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D71A89"/>
    <w:multiLevelType w:val="hybridMultilevel"/>
    <w:tmpl w:val="6760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EB73FC"/>
    <w:multiLevelType w:val="hybridMultilevel"/>
    <w:tmpl w:val="D652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A1686"/>
    <w:multiLevelType w:val="hybridMultilevel"/>
    <w:tmpl w:val="6C90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58"/>
    <w:rsid w:val="00045F64"/>
    <w:rsid w:val="001E0FC2"/>
    <w:rsid w:val="003B3D64"/>
    <w:rsid w:val="004640DD"/>
    <w:rsid w:val="005B0F10"/>
    <w:rsid w:val="005D7B58"/>
    <w:rsid w:val="00631EA4"/>
    <w:rsid w:val="00634136"/>
    <w:rsid w:val="0064348C"/>
    <w:rsid w:val="00745680"/>
    <w:rsid w:val="007B1E3D"/>
    <w:rsid w:val="007B3B52"/>
    <w:rsid w:val="007E4703"/>
    <w:rsid w:val="007F0961"/>
    <w:rsid w:val="008A784D"/>
    <w:rsid w:val="00A24093"/>
    <w:rsid w:val="00B4250A"/>
    <w:rsid w:val="00D0026D"/>
    <w:rsid w:val="00E338C4"/>
    <w:rsid w:val="00EF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612FB2"/>
  <w15:chartTrackingRefBased/>
  <w15:docId w15:val="{BEC1B972-E0E9-4D16-B958-0C3C3807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B58"/>
    <w:pPr>
      <w:tabs>
        <w:tab w:val="center" w:pos="4680"/>
        <w:tab w:val="right" w:pos="9360"/>
      </w:tabs>
    </w:pPr>
  </w:style>
  <w:style w:type="character" w:customStyle="1" w:styleId="HeaderChar">
    <w:name w:val="Header Char"/>
    <w:basedOn w:val="DefaultParagraphFont"/>
    <w:link w:val="Header"/>
    <w:uiPriority w:val="99"/>
    <w:rsid w:val="005D7B58"/>
  </w:style>
  <w:style w:type="paragraph" w:styleId="Footer">
    <w:name w:val="footer"/>
    <w:basedOn w:val="Normal"/>
    <w:link w:val="FooterChar"/>
    <w:uiPriority w:val="99"/>
    <w:unhideWhenUsed/>
    <w:rsid w:val="005D7B58"/>
    <w:pPr>
      <w:tabs>
        <w:tab w:val="center" w:pos="4680"/>
        <w:tab w:val="right" w:pos="9360"/>
      </w:tabs>
    </w:pPr>
  </w:style>
  <w:style w:type="character" w:customStyle="1" w:styleId="FooterChar">
    <w:name w:val="Footer Char"/>
    <w:basedOn w:val="DefaultParagraphFont"/>
    <w:link w:val="Footer"/>
    <w:uiPriority w:val="99"/>
    <w:rsid w:val="005D7B58"/>
  </w:style>
  <w:style w:type="paragraph" w:styleId="ListParagraph">
    <w:name w:val="List Paragraph"/>
    <w:basedOn w:val="Normal"/>
    <w:uiPriority w:val="34"/>
    <w:qFormat/>
    <w:rsid w:val="005D7B58"/>
    <w:pPr>
      <w:ind w:left="720"/>
      <w:contextualSpacing/>
    </w:pPr>
  </w:style>
  <w:style w:type="paragraph" w:styleId="BalloonText">
    <w:name w:val="Balloon Text"/>
    <w:basedOn w:val="Normal"/>
    <w:link w:val="BalloonTextChar"/>
    <w:uiPriority w:val="99"/>
    <w:semiHidden/>
    <w:unhideWhenUsed/>
    <w:rsid w:val="007F0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Garamendi staff</dc:creator>
  <cp:keywords/>
  <dc:description/>
  <cp:lastModifiedBy>David Elrod</cp:lastModifiedBy>
  <cp:revision>2</cp:revision>
  <dcterms:created xsi:type="dcterms:W3CDTF">2021-08-13T13:13:00Z</dcterms:created>
  <dcterms:modified xsi:type="dcterms:W3CDTF">2021-08-13T13:13:00Z</dcterms:modified>
</cp:coreProperties>
</file>