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5FD5" w14:textId="5307B2CC" w:rsidR="00F97F57" w:rsidRPr="00C632A8" w:rsidRDefault="00CA1AD2" w:rsidP="00875259">
      <w:pPr>
        <w:pStyle w:val="Heading1"/>
        <w:spacing w:before="0"/>
        <w:rPr>
          <w:rFonts w:ascii="Arial" w:hAnsi="Arial" w:cs="Arial"/>
          <w:color w:val="595959" w:themeColor="text1" w:themeTint="A6"/>
          <w:sz w:val="32"/>
        </w:rPr>
      </w:pPr>
      <w:r>
        <w:rPr>
          <w:rFonts w:ascii="Arial" w:hAnsi="Arial" w:cs="Arial"/>
          <w:color w:val="595959" w:themeColor="text1" w:themeTint="A6"/>
          <w:sz w:val="32"/>
        </w:rPr>
        <w:t xml:space="preserve">Meat Performance Strengthens in September </w:t>
      </w:r>
    </w:p>
    <w:p w14:paraId="32EF5C27" w14:textId="77777777" w:rsidR="00477835" w:rsidRPr="006879B2" w:rsidRDefault="00477835" w:rsidP="00FB129D">
      <w:pPr>
        <w:pStyle w:val="Heading1"/>
        <w:spacing w:before="0"/>
        <w:rPr>
          <w:rFonts w:ascii="Arial" w:hAnsi="Arial" w:cs="Arial"/>
          <w:sz w:val="20"/>
          <w:szCs w:val="20"/>
        </w:rPr>
      </w:pPr>
      <w:r w:rsidRPr="006879B2">
        <w:rPr>
          <w:rFonts w:ascii="Arial" w:hAnsi="Arial" w:cs="Arial"/>
          <w:sz w:val="20"/>
          <w:szCs w:val="20"/>
        </w:rPr>
        <w:t xml:space="preserve">By: </w:t>
      </w:r>
      <w:r w:rsidR="00825B09" w:rsidRPr="006879B2">
        <w:rPr>
          <w:rFonts w:ascii="Arial" w:hAnsi="Arial" w:cs="Arial"/>
          <w:sz w:val="20"/>
          <w:szCs w:val="20"/>
        </w:rPr>
        <w:t>Anne-Marie Roerink, President, 210 Analytics LLC</w:t>
      </w:r>
    </w:p>
    <w:p w14:paraId="23AF0715" w14:textId="77777777" w:rsidR="0046747F" w:rsidRPr="006879B2" w:rsidRDefault="0046747F" w:rsidP="00261C8D">
      <w:pPr>
        <w:pStyle w:val="NoSpacing"/>
        <w:rPr>
          <w:rFonts w:ascii="Arial" w:hAnsi="Arial" w:cs="Arial"/>
          <w:sz w:val="20"/>
          <w:szCs w:val="20"/>
        </w:rPr>
      </w:pPr>
      <w:r w:rsidRPr="006879B2">
        <w:rPr>
          <w:rFonts w:ascii="Arial" w:hAnsi="Arial" w:cs="Arial"/>
          <w:noProof/>
          <w:sz w:val="20"/>
          <w:szCs w:val="20"/>
          <w:lang w:val="nl-NL" w:eastAsia="nl-NL"/>
        </w:rPr>
        <w:drawing>
          <wp:anchor distT="0" distB="0" distL="114300" distR="114300" simplePos="0" relativeHeight="251656704" behindDoc="0" locked="1" layoutInCell="1" allowOverlap="1" wp14:anchorId="6CB72ED9" wp14:editId="4A8D33EA">
            <wp:simplePos x="0" y="0"/>
            <wp:positionH relativeFrom="page">
              <wp:posOffset>388620</wp:posOffset>
            </wp:positionH>
            <wp:positionV relativeFrom="page">
              <wp:posOffset>1193800</wp:posOffset>
            </wp:positionV>
            <wp:extent cx="7212330" cy="681990"/>
            <wp:effectExtent l="0" t="0" r="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 shadow PS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12330" cy="681990"/>
                    </a:xfrm>
                    <a:prstGeom prst="rect">
                      <a:avLst/>
                    </a:prstGeom>
                  </pic:spPr>
                </pic:pic>
              </a:graphicData>
            </a:graphic>
          </wp:anchor>
        </w:drawing>
      </w:r>
    </w:p>
    <w:p w14:paraId="0CAF6BFA" w14:textId="77777777" w:rsidR="00D82E46" w:rsidRPr="00C81440" w:rsidRDefault="00D82E46" w:rsidP="00261C8D">
      <w:pPr>
        <w:pStyle w:val="NoSpacing"/>
        <w:rPr>
          <w:rFonts w:ascii="Arial" w:hAnsi="Arial" w:cs="Arial"/>
          <w:sz w:val="10"/>
          <w:szCs w:val="20"/>
        </w:rPr>
      </w:pPr>
    </w:p>
    <w:p w14:paraId="67B91773" w14:textId="77777777" w:rsidR="005E20C0" w:rsidRDefault="005E20C0" w:rsidP="005E20C0">
      <w:pPr>
        <w:pStyle w:val="NoSpacing"/>
        <w:rPr>
          <w:rFonts w:ascii="Arial" w:hAnsi="Arial" w:cs="Arial"/>
          <w:b/>
          <w:bCs/>
          <w:color w:val="595959"/>
          <w:sz w:val="24"/>
          <w:szCs w:val="24"/>
        </w:rPr>
      </w:pPr>
    </w:p>
    <w:p w14:paraId="413B3F4E" w14:textId="77777777" w:rsidR="00C632A8" w:rsidRPr="005E20C0" w:rsidRDefault="00C632A8" w:rsidP="00C632A8">
      <w:pPr>
        <w:pStyle w:val="NoSpacing"/>
        <w:rPr>
          <w:sz w:val="24"/>
          <w:szCs w:val="24"/>
        </w:rPr>
      </w:pPr>
      <w:r w:rsidRPr="005E20C0">
        <w:rPr>
          <w:rFonts w:ascii="Arial" w:hAnsi="Arial" w:cs="Arial"/>
          <w:b/>
          <w:bCs/>
          <w:color w:val="595959"/>
          <w:sz w:val="24"/>
          <w:szCs w:val="24"/>
        </w:rPr>
        <w:t xml:space="preserve">The </w:t>
      </w:r>
      <w:r>
        <w:rPr>
          <w:rFonts w:ascii="Arial" w:hAnsi="Arial" w:cs="Arial"/>
          <w:b/>
          <w:bCs/>
          <w:color w:val="595959"/>
          <w:sz w:val="24"/>
          <w:szCs w:val="24"/>
        </w:rPr>
        <w:t>September</w:t>
      </w:r>
      <w:r w:rsidRPr="005E20C0">
        <w:rPr>
          <w:rFonts w:ascii="Arial" w:hAnsi="Arial" w:cs="Arial"/>
          <w:b/>
          <w:bCs/>
          <w:color w:val="595959"/>
          <w:sz w:val="24"/>
          <w:szCs w:val="24"/>
        </w:rPr>
        <w:t xml:space="preserve"> Marketplace</w:t>
      </w:r>
    </w:p>
    <w:p w14:paraId="18F860D1" w14:textId="77777777" w:rsidR="00C632A8" w:rsidRDefault="00C632A8" w:rsidP="00C632A8">
      <w:pPr>
        <w:pStyle w:val="NoSpacing"/>
        <w:rPr>
          <w:rFonts w:ascii="Arial" w:hAnsi="Arial" w:cs="Arial"/>
          <w:sz w:val="20"/>
          <w:szCs w:val="20"/>
        </w:rPr>
      </w:pPr>
      <w:r>
        <w:rPr>
          <w:rFonts w:ascii="Arial" w:hAnsi="Arial" w:cs="Arial"/>
          <w:sz w:val="20"/>
          <w:szCs w:val="20"/>
        </w:rPr>
        <w:t xml:space="preserve">Life remained home-centric in late summer, with an estimated 78% of all meal occasions being prepared at home, </w:t>
      </w:r>
      <w:bookmarkStart w:id="0" w:name="_Hlk116281996"/>
      <w:r>
        <w:rPr>
          <w:rFonts w:ascii="Arial" w:hAnsi="Arial" w:cs="Arial"/>
          <w:sz w:val="20"/>
          <w:szCs w:val="20"/>
        </w:rPr>
        <w:t>according to the September IRI primary shopper survey</w:t>
      </w:r>
      <w:bookmarkEnd w:id="0"/>
      <w:r>
        <w:rPr>
          <w:rFonts w:ascii="Arial" w:hAnsi="Arial" w:cs="Arial"/>
          <w:sz w:val="20"/>
          <w:szCs w:val="20"/>
        </w:rPr>
        <w:t>. While this is down 10 points from the very start of the pandemic, the high inflationary levels are keeping the food dollar largely at retail. Consumers are still ordering restaurant meals, but not as often as before plus they are making changes to what they order with an eye on the check total</w:t>
      </w:r>
      <w:r w:rsidRPr="00673B05">
        <w:rPr>
          <w:rFonts w:ascii="Arial" w:hAnsi="Arial" w:cs="Arial"/>
          <w:sz w:val="20"/>
          <w:szCs w:val="20"/>
        </w:rPr>
        <w:t>.</w:t>
      </w:r>
    </w:p>
    <w:p w14:paraId="0BA6DE5D" w14:textId="77777777" w:rsidR="00C632A8" w:rsidRDefault="00C632A8" w:rsidP="00C632A8">
      <w:pPr>
        <w:pStyle w:val="NoSpacing"/>
        <w:ind w:left="360"/>
        <w:rPr>
          <w:rFonts w:ascii="Arial" w:hAnsi="Arial" w:cs="Arial"/>
          <w:sz w:val="20"/>
          <w:szCs w:val="20"/>
        </w:rPr>
      </w:pPr>
    </w:p>
    <w:p w14:paraId="1BAD3E40" w14:textId="77777777" w:rsidR="00C632A8" w:rsidRDefault="00C632A8" w:rsidP="00C632A8">
      <w:pPr>
        <w:pStyle w:val="NoSpacing"/>
        <w:numPr>
          <w:ilvl w:val="0"/>
          <w:numId w:val="40"/>
        </w:numPr>
        <w:rPr>
          <w:rFonts w:ascii="Arial" w:hAnsi="Arial" w:cs="Arial"/>
          <w:sz w:val="20"/>
          <w:szCs w:val="20"/>
        </w:rPr>
      </w:pPr>
      <w:r w:rsidRPr="00366BE9">
        <w:rPr>
          <w:rFonts w:ascii="Arial" w:hAnsi="Arial" w:cs="Arial"/>
          <w:sz w:val="20"/>
          <w:szCs w:val="20"/>
        </w:rPr>
        <w:t>82% of American households bought at least one restaurant meal in September, with the highest restaurant penetration among higher</w:t>
      </w:r>
      <w:r>
        <w:rPr>
          <w:rFonts w:ascii="Arial" w:hAnsi="Arial" w:cs="Arial"/>
          <w:sz w:val="20"/>
          <w:szCs w:val="20"/>
        </w:rPr>
        <w:t>-</w:t>
      </w:r>
      <w:r w:rsidRPr="00366BE9">
        <w:rPr>
          <w:rFonts w:ascii="Arial" w:hAnsi="Arial" w:cs="Arial"/>
          <w:sz w:val="20"/>
          <w:szCs w:val="20"/>
        </w:rPr>
        <w:t xml:space="preserve">income households, at 91%. Only 69% of households </w:t>
      </w:r>
      <w:r>
        <w:rPr>
          <w:rFonts w:ascii="Arial" w:hAnsi="Arial" w:cs="Arial"/>
          <w:sz w:val="20"/>
          <w:szCs w:val="20"/>
        </w:rPr>
        <w:t xml:space="preserve">who are earning </w:t>
      </w:r>
      <w:r w:rsidRPr="00366BE9">
        <w:rPr>
          <w:rFonts w:ascii="Arial" w:hAnsi="Arial" w:cs="Arial"/>
          <w:sz w:val="20"/>
          <w:szCs w:val="20"/>
        </w:rPr>
        <w:t xml:space="preserve">less than $25,000 </w:t>
      </w:r>
      <w:r>
        <w:rPr>
          <w:rFonts w:ascii="Arial" w:hAnsi="Arial" w:cs="Arial"/>
          <w:sz w:val="20"/>
          <w:szCs w:val="20"/>
        </w:rPr>
        <w:t xml:space="preserve">annually </w:t>
      </w:r>
      <w:r w:rsidRPr="00366BE9">
        <w:rPr>
          <w:rFonts w:ascii="Arial" w:hAnsi="Arial" w:cs="Arial"/>
          <w:sz w:val="20"/>
          <w:szCs w:val="20"/>
        </w:rPr>
        <w:t xml:space="preserve">ate at restaurants at least once in September. Restaurant engagement is </w:t>
      </w:r>
      <w:r>
        <w:rPr>
          <w:rFonts w:ascii="Arial" w:hAnsi="Arial" w:cs="Arial"/>
          <w:sz w:val="20"/>
          <w:szCs w:val="20"/>
        </w:rPr>
        <w:t xml:space="preserve">also lower </w:t>
      </w:r>
      <w:r w:rsidRPr="00366BE9">
        <w:rPr>
          <w:rFonts w:ascii="Arial" w:hAnsi="Arial" w:cs="Arial"/>
          <w:sz w:val="20"/>
          <w:szCs w:val="20"/>
        </w:rPr>
        <w:t xml:space="preserve">in the Midwest and among older shoppers. </w:t>
      </w:r>
    </w:p>
    <w:p w14:paraId="6039D405" w14:textId="77777777" w:rsidR="00C632A8" w:rsidRPr="00673B05" w:rsidRDefault="00C632A8" w:rsidP="00C632A8">
      <w:pPr>
        <w:pStyle w:val="NoSpacing"/>
        <w:numPr>
          <w:ilvl w:val="0"/>
          <w:numId w:val="40"/>
        </w:numPr>
        <w:rPr>
          <w:rFonts w:ascii="Arial" w:hAnsi="Arial" w:cs="Arial"/>
          <w:sz w:val="20"/>
          <w:szCs w:val="20"/>
        </w:rPr>
      </w:pPr>
      <w:r w:rsidRPr="00673B05">
        <w:rPr>
          <w:rFonts w:ascii="Arial" w:hAnsi="Arial" w:cs="Arial"/>
          <w:sz w:val="20"/>
          <w:szCs w:val="20"/>
        </w:rPr>
        <w:t>Takeout continues to be big, with 54% having ordered meals to go</w:t>
      </w:r>
      <w:r>
        <w:rPr>
          <w:rFonts w:ascii="Arial" w:hAnsi="Arial" w:cs="Arial"/>
          <w:sz w:val="20"/>
          <w:szCs w:val="20"/>
        </w:rPr>
        <w:t xml:space="preserve"> in September</w:t>
      </w:r>
      <w:r w:rsidRPr="00673B05">
        <w:rPr>
          <w:rFonts w:ascii="Arial" w:hAnsi="Arial" w:cs="Arial"/>
          <w:sz w:val="20"/>
          <w:szCs w:val="20"/>
        </w:rPr>
        <w:t xml:space="preserve">. Half of American households have eaten restaurant food on premise. Additionally, 18% have ordered from a restaurant for home delivery (down two points from August). Home delivery is much more popular among high-income households as well as the youngest shoppers. </w:t>
      </w:r>
      <w:r>
        <w:rPr>
          <w:rFonts w:ascii="Arial" w:hAnsi="Arial" w:cs="Arial"/>
          <w:sz w:val="20"/>
          <w:szCs w:val="20"/>
        </w:rPr>
        <w:t xml:space="preserve">For </w:t>
      </w:r>
      <w:r w:rsidRPr="00673B05">
        <w:rPr>
          <w:rFonts w:ascii="Arial" w:hAnsi="Arial" w:cs="Arial"/>
          <w:sz w:val="20"/>
          <w:szCs w:val="20"/>
        </w:rPr>
        <w:t xml:space="preserve">October, 54% of consumers expect they will eat out as often, while 24% believe they will cut back </w:t>
      </w:r>
      <w:r>
        <w:rPr>
          <w:rFonts w:ascii="Arial" w:hAnsi="Arial" w:cs="Arial"/>
          <w:sz w:val="20"/>
          <w:szCs w:val="20"/>
        </w:rPr>
        <w:t xml:space="preserve">on restaurant spending </w:t>
      </w:r>
      <w:r w:rsidRPr="00673B05">
        <w:rPr>
          <w:rFonts w:ascii="Arial" w:hAnsi="Arial" w:cs="Arial"/>
          <w:sz w:val="20"/>
          <w:szCs w:val="20"/>
        </w:rPr>
        <w:t>further.</w:t>
      </w:r>
    </w:p>
    <w:p w14:paraId="2587BB8E" w14:textId="77777777" w:rsidR="00C632A8" w:rsidRDefault="00C632A8" w:rsidP="00C632A8">
      <w:pPr>
        <w:pStyle w:val="NoSpacing"/>
        <w:numPr>
          <w:ilvl w:val="0"/>
          <w:numId w:val="40"/>
        </w:numPr>
        <w:rPr>
          <w:rFonts w:ascii="Arial" w:hAnsi="Arial" w:cs="Arial"/>
          <w:sz w:val="20"/>
          <w:szCs w:val="20"/>
        </w:rPr>
      </w:pPr>
      <w:r w:rsidRPr="002234A5">
        <w:rPr>
          <w:rFonts w:ascii="Arial" w:hAnsi="Arial" w:cs="Arial"/>
          <w:sz w:val="20"/>
          <w:szCs w:val="20"/>
        </w:rPr>
        <w:t>When purchasing groceries, 8</w:t>
      </w:r>
      <w:r>
        <w:rPr>
          <w:rFonts w:ascii="Arial" w:hAnsi="Arial" w:cs="Arial"/>
          <w:sz w:val="20"/>
          <w:szCs w:val="20"/>
        </w:rPr>
        <w:t>3</w:t>
      </w:r>
      <w:r w:rsidRPr="002234A5">
        <w:rPr>
          <w:rFonts w:ascii="Arial" w:hAnsi="Arial" w:cs="Arial"/>
          <w:sz w:val="20"/>
          <w:szCs w:val="20"/>
        </w:rPr>
        <w:t xml:space="preserve">% </w:t>
      </w:r>
      <w:r>
        <w:rPr>
          <w:rFonts w:ascii="Arial" w:hAnsi="Arial" w:cs="Arial"/>
          <w:sz w:val="20"/>
          <w:szCs w:val="20"/>
        </w:rPr>
        <w:t xml:space="preserve">of consumers </w:t>
      </w:r>
      <w:r w:rsidRPr="002234A5">
        <w:rPr>
          <w:rFonts w:ascii="Arial" w:hAnsi="Arial" w:cs="Arial"/>
          <w:sz w:val="20"/>
          <w:szCs w:val="20"/>
        </w:rPr>
        <w:t>shopped in person</w:t>
      </w:r>
      <w:r>
        <w:rPr>
          <w:rFonts w:ascii="Arial" w:hAnsi="Arial" w:cs="Arial"/>
          <w:sz w:val="20"/>
          <w:szCs w:val="20"/>
        </w:rPr>
        <w:t>, down from 85% in August</w:t>
      </w:r>
      <w:r w:rsidRPr="002234A5">
        <w:rPr>
          <w:rFonts w:ascii="Arial" w:hAnsi="Arial" w:cs="Arial"/>
          <w:sz w:val="20"/>
          <w:szCs w:val="20"/>
        </w:rPr>
        <w:t>. Online shopping was near equally divided between click-and-collect (</w:t>
      </w:r>
      <w:r>
        <w:rPr>
          <w:rFonts w:ascii="Arial" w:hAnsi="Arial" w:cs="Arial"/>
          <w:sz w:val="20"/>
          <w:szCs w:val="20"/>
        </w:rPr>
        <w:t>10</w:t>
      </w:r>
      <w:r w:rsidRPr="002234A5">
        <w:rPr>
          <w:rFonts w:ascii="Arial" w:hAnsi="Arial" w:cs="Arial"/>
          <w:sz w:val="20"/>
          <w:szCs w:val="20"/>
        </w:rPr>
        <w:t>%) and home delivery (</w:t>
      </w:r>
      <w:r>
        <w:rPr>
          <w:rFonts w:ascii="Arial" w:hAnsi="Arial" w:cs="Arial"/>
          <w:sz w:val="20"/>
          <w:szCs w:val="20"/>
        </w:rPr>
        <w:t>8</w:t>
      </w:r>
      <w:r w:rsidRPr="002234A5">
        <w:rPr>
          <w:rFonts w:ascii="Arial" w:hAnsi="Arial" w:cs="Arial"/>
          <w:sz w:val="20"/>
          <w:szCs w:val="20"/>
        </w:rPr>
        <w:t xml:space="preserve">%). </w:t>
      </w:r>
      <w:r>
        <w:rPr>
          <w:rFonts w:ascii="Arial" w:hAnsi="Arial" w:cs="Arial"/>
          <w:sz w:val="20"/>
          <w:szCs w:val="20"/>
        </w:rPr>
        <w:t xml:space="preserve">Shoppers are not expecting a major change in their in-person versus online shopping: 4% expect they will buy all groceries online in the next few weeks and months, while 68% believe they will buy all groceries in person. The estimates among the remaining 28% range from expecting to buy most groceries (8%) to only some (7%) online. </w:t>
      </w:r>
    </w:p>
    <w:p w14:paraId="6332F41A" w14:textId="77777777" w:rsidR="00C632A8" w:rsidRDefault="00C632A8" w:rsidP="00C632A8">
      <w:pPr>
        <w:pStyle w:val="NoSpacing"/>
        <w:numPr>
          <w:ilvl w:val="0"/>
          <w:numId w:val="40"/>
        </w:numPr>
        <w:rPr>
          <w:rFonts w:ascii="Arial" w:hAnsi="Arial" w:cs="Arial"/>
          <w:sz w:val="20"/>
          <w:szCs w:val="20"/>
        </w:rPr>
      </w:pPr>
      <w:r>
        <w:rPr>
          <w:rFonts w:ascii="Arial" w:hAnsi="Arial" w:cs="Arial"/>
          <w:sz w:val="20"/>
          <w:szCs w:val="20"/>
        </w:rPr>
        <w:t xml:space="preserve">Spending continues to be affected by out-of-stocks, with 38% of shoppers mentioning examples of items they meant to buy but were unavailable, ranging from carbonated drinks to milk, canned goods, eggs and chicken. This leads to shoppers substituting, switching stores or abandoning the intended purchases altogether — all affecting sales. At the same time, when items are available for purchase, 40% of shoppers stock up on staples out of concern for rising prices or the item being unavailable next time they shop. </w:t>
      </w:r>
    </w:p>
    <w:p w14:paraId="34CB6828" w14:textId="77777777" w:rsidR="00C632A8" w:rsidRDefault="00C632A8" w:rsidP="00C632A8">
      <w:pPr>
        <w:pStyle w:val="NoSpacing"/>
        <w:numPr>
          <w:ilvl w:val="0"/>
          <w:numId w:val="40"/>
        </w:numPr>
        <w:rPr>
          <w:rFonts w:ascii="Arial" w:hAnsi="Arial" w:cs="Arial"/>
          <w:sz w:val="20"/>
          <w:szCs w:val="20"/>
        </w:rPr>
      </w:pPr>
      <w:r>
        <w:rPr>
          <w:rFonts w:ascii="Arial" w:hAnsi="Arial" w:cs="Arial"/>
          <w:sz w:val="20"/>
          <w:szCs w:val="20"/>
        </w:rPr>
        <w:t xml:space="preserve">In line with reality, price perceptions remain high with 94% believing grocery prices are somewhat or a lot more than before. Equally as many are concerned about food inflation. Eight in 10 shoppers (78%) are making changes to their shopping choices due to increased prices. The most popular money-saving measures are looking for sales/deals more often (49%), cutting back on non-essentials (43%), looking for coupons (30%) and buying store-brand items more often (28%). Despite the high gasoline prices, 15% switched some of their shopping to a lower-cost retailer and/or visit multiple stores to get the best deals. This cherry-picking behavior may be driven by 55% of consumers reporting that fewer of the items they are looking for are on sale and 44% feel that items are not discounted as much as they used to be. </w:t>
      </w:r>
    </w:p>
    <w:p w14:paraId="68F5FDD1" w14:textId="77777777" w:rsidR="00F713D0" w:rsidRDefault="00F713D0" w:rsidP="00AD0E00">
      <w:pPr>
        <w:pStyle w:val="NoSpacing"/>
        <w:rPr>
          <w:rFonts w:ascii="Arial" w:hAnsi="Arial" w:cs="Arial"/>
          <w:sz w:val="20"/>
          <w:szCs w:val="20"/>
        </w:rPr>
      </w:pPr>
    </w:p>
    <w:p w14:paraId="64BB8E9B" w14:textId="00AE9781" w:rsidR="008B1BF3" w:rsidRDefault="007E3BE2" w:rsidP="00AD0E00">
      <w:pPr>
        <w:pStyle w:val="NoSpacing"/>
        <w:rPr>
          <w:rFonts w:ascii="Arial" w:hAnsi="Arial" w:cs="Arial"/>
          <w:sz w:val="20"/>
          <w:szCs w:val="20"/>
        </w:rPr>
      </w:pPr>
      <w:r>
        <w:rPr>
          <w:rFonts w:ascii="Arial" w:hAnsi="Arial" w:cs="Arial"/>
          <w:sz w:val="20"/>
          <w:szCs w:val="20"/>
        </w:rPr>
        <w:t>Prolonged supply chain</w:t>
      </w:r>
      <w:r w:rsidR="00920232">
        <w:rPr>
          <w:rFonts w:ascii="Arial" w:hAnsi="Arial" w:cs="Arial"/>
          <w:sz w:val="20"/>
          <w:szCs w:val="20"/>
        </w:rPr>
        <w:t>, labor</w:t>
      </w:r>
      <w:r w:rsidR="00A47393">
        <w:rPr>
          <w:rFonts w:ascii="Arial" w:hAnsi="Arial" w:cs="Arial"/>
          <w:sz w:val="20"/>
          <w:szCs w:val="20"/>
        </w:rPr>
        <w:t>, transportation</w:t>
      </w:r>
      <w:r w:rsidR="00C632A8">
        <w:rPr>
          <w:rFonts w:ascii="Arial" w:hAnsi="Arial" w:cs="Arial"/>
          <w:sz w:val="20"/>
          <w:szCs w:val="20"/>
        </w:rPr>
        <w:t>, global market</w:t>
      </w:r>
      <w:r w:rsidR="00920232">
        <w:rPr>
          <w:rFonts w:ascii="Arial" w:hAnsi="Arial" w:cs="Arial"/>
          <w:sz w:val="20"/>
          <w:szCs w:val="20"/>
        </w:rPr>
        <w:t xml:space="preserve"> and weather challenges in combination with a sharpening </w:t>
      </w:r>
      <w:r w:rsidR="00A47393">
        <w:rPr>
          <w:rFonts w:ascii="Arial" w:hAnsi="Arial" w:cs="Arial"/>
          <w:sz w:val="20"/>
          <w:szCs w:val="20"/>
        </w:rPr>
        <w:t xml:space="preserve">consumer reactions to the high food inflation </w:t>
      </w:r>
      <w:r w:rsidR="00920232">
        <w:rPr>
          <w:rFonts w:ascii="Arial" w:hAnsi="Arial" w:cs="Arial"/>
          <w:sz w:val="20"/>
          <w:szCs w:val="20"/>
        </w:rPr>
        <w:t xml:space="preserve">is resulting in an </w:t>
      </w:r>
      <w:r w:rsidR="008B1BF3">
        <w:rPr>
          <w:rFonts w:ascii="Arial" w:hAnsi="Arial" w:cs="Arial"/>
          <w:sz w:val="20"/>
          <w:szCs w:val="20"/>
        </w:rPr>
        <w:t xml:space="preserve">ever-changing nature of the marketplace, IRI, 210 Analytics and </w:t>
      </w:r>
      <w:hyperlink r:id="rId12" w:history="1">
        <w:proofErr w:type="spellStart"/>
        <w:r w:rsidR="00DC64DE" w:rsidRPr="00A52516">
          <w:rPr>
            <w:rStyle w:val="Hyperlink"/>
            <w:rFonts w:ascii="Arial" w:hAnsi="Arial" w:cs="Arial"/>
            <w:sz w:val="20"/>
            <w:szCs w:val="20"/>
          </w:rPr>
          <w:t>Marriner</w:t>
        </w:r>
        <w:proofErr w:type="spellEnd"/>
        <w:r w:rsidR="00DC64DE" w:rsidRPr="00A52516">
          <w:rPr>
            <w:rStyle w:val="Hyperlink"/>
            <w:rFonts w:ascii="Arial" w:hAnsi="Arial" w:cs="Arial"/>
            <w:sz w:val="20"/>
            <w:szCs w:val="20"/>
          </w:rPr>
          <w:t xml:space="preserve"> Marketing</w:t>
        </w:r>
      </w:hyperlink>
      <w:r w:rsidR="00DC64DE" w:rsidRPr="00A52516">
        <w:rPr>
          <w:rFonts w:ascii="Arial" w:hAnsi="Arial" w:cs="Arial"/>
          <w:sz w:val="20"/>
          <w:szCs w:val="20"/>
        </w:rPr>
        <w:t xml:space="preserve"> </w:t>
      </w:r>
      <w:r w:rsidR="008B1BF3">
        <w:rPr>
          <w:rFonts w:ascii="Arial" w:hAnsi="Arial" w:cs="Arial"/>
          <w:sz w:val="20"/>
          <w:szCs w:val="20"/>
        </w:rPr>
        <w:t xml:space="preserve">continue to team up to bring the latest trends and analysis relative to </w:t>
      </w:r>
      <w:r w:rsidR="00E36985">
        <w:rPr>
          <w:rFonts w:ascii="Arial" w:hAnsi="Arial" w:cs="Arial"/>
          <w:sz w:val="20"/>
          <w:szCs w:val="20"/>
        </w:rPr>
        <w:t xml:space="preserve">meat department </w:t>
      </w:r>
      <w:r w:rsidR="008B1BF3">
        <w:rPr>
          <w:rFonts w:ascii="Arial" w:hAnsi="Arial" w:cs="Arial"/>
          <w:sz w:val="20"/>
          <w:szCs w:val="20"/>
        </w:rPr>
        <w:t>sales, including fresh</w:t>
      </w:r>
      <w:r w:rsidR="00E36985">
        <w:rPr>
          <w:rFonts w:ascii="Arial" w:hAnsi="Arial" w:cs="Arial"/>
          <w:sz w:val="20"/>
          <w:szCs w:val="20"/>
        </w:rPr>
        <w:t xml:space="preserve"> and processed items</w:t>
      </w:r>
      <w:r w:rsidR="008B1BF3">
        <w:rPr>
          <w:rFonts w:ascii="Arial" w:hAnsi="Arial" w:cs="Arial"/>
          <w:sz w:val="20"/>
          <w:szCs w:val="20"/>
        </w:rPr>
        <w:t xml:space="preserve">. </w:t>
      </w:r>
    </w:p>
    <w:p w14:paraId="58B9065D" w14:textId="77777777" w:rsidR="008B1BF3" w:rsidRPr="00667680" w:rsidRDefault="008B1BF3" w:rsidP="008B1BF3">
      <w:pPr>
        <w:pStyle w:val="NoSpacing"/>
        <w:rPr>
          <w:rFonts w:ascii="Arial" w:hAnsi="Arial" w:cs="Arial"/>
          <w:b/>
          <w:color w:val="595959" w:themeColor="text1" w:themeTint="A6"/>
          <w:sz w:val="20"/>
          <w:szCs w:val="16"/>
        </w:rPr>
      </w:pPr>
    </w:p>
    <w:p w14:paraId="307A49B8" w14:textId="77777777" w:rsidR="00C632A8" w:rsidRPr="00355721" w:rsidRDefault="00C632A8" w:rsidP="00C632A8">
      <w:pPr>
        <w:pStyle w:val="NoSpacing"/>
        <w:rPr>
          <w:rFonts w:ascii="Arial" w:hAnsi="Arial" w:cs="Arial"/>
          <w:b/>
          <w:color w:val="595959" w:themeColor="text1" w:themeTint="A6"/>
          <w:sz w:val="24"/>
          <w:szCs w:val="20"/>
        </w:rPr>
      </w:pPr>
      <w:bookmarkStart w:id="1" w:name="_Hlk116282735"/>
      <w:r w:rsidRPr="00355721">
        <w:rPr>
          <w:rFonts w:ascii="Arial" w:hAnsi="Arial" w:cs="Arial"/>
          <w:b/>
          <w:color w:val="595959" w:themeColor="text1" w:themeTint="A6"/>
          <w:sz w:val="24"/>
          <w:szCs w:val="20"/>
        </w:rPr>
        <w:t>Inflation</w:t>
      </w:r>
      <w:r>
        <w:rPr>
          <w:rFonts w:ascii="Arial" w:hAnsi="Arial" w:cs="Arial"/>
          <w:b/>
          <w:color w:val="595959" w:themeColor="text1" w:themeTint="A6"/>
          <w:sz w:val="24"/>
          <w:szCs w:val="20"/>
        </w:rPr>
        <w:t xml:space="preserve"> Insights</w:t>
      </w:r>
    </w:p>
    <w:p w14:paraId="5E6AD50F" w14:textId="77777777" w:rsidR="00C632A8" w:rsidRDefault="00C632A8" w:rsidP="00C632A8">
      <w:pPr>
        <w:pStyle w:val="NoSpacing"/>
        <w:ind w:right="-285"/>
        <w:rPr>
          <w:rFonts w:ascii="Arial" w:hAnsi="Arial" w:cs="Arial"/>
          <w:color w:val="000000" w:themeColor="text1"/>
          <w:sz w:val="20"/>
          <w:szCs w:val="20"/>
        </w:rPr>
      </w:pPr>
      <w:r>
        <w:rPr>
          <w:rFonts w:ascii="Arial" w:hAnsi="Arial" w:cs="Arial"/>
          <w:sz w:val="20"/>
          <w:szCs w:val="20"/>
        </w:rPr>
        <w:t xml:space="preserve">The price per unit across all foods and beverages in the IRI-measured multi-outlet stores, including supermarkets, club, mass, supercenter, drug and military, increased 14.0% over the third quarter of 2022 and 14.3% in the month of September (the four weeks ending 9/25/2022). September inflation was +17.4% in the center of the store (grocery) and +12.3% for perishables. Compared with August 2019, prices across all foods and beverages were up 27.9%. </w:t>
      </w:r>
    </w:p>
    <w:p w14:paraId="437C89A6" w14:textId="77777777" w:rsidR="00C632A8" w:rsidRPr="00C632A8" w:rsidRDefault="00C632A8" w:rsidP="00C632A8">
      <w:pPr>
        <w:pStyle w:val="NoSpacing"/>
        <w:rPr>
          <w:rFonts w:ascii="Arial" w:hAnsi="Arial" w:cs="Arial"/>
          <w:b/>
          <w:color w:val="595959" w:themeColor="text1" w:themeTint="A6"/>
          <w:sz w:val="20"/>
          <w:szCs w:val="16"/>
        </w:rPr>
      </w:pPr>
    </w:p>
    <w:tbl>
      <w:tblPr>
        <w:tblStyle w:val="LightShading-Accent5"/>
        <w:tblW w:w="10631" w:type="dxa"/>
        <w:tblBorders>
          <w:top w:val="none" w:sz="0" w:space="0" w:color="auto"/>
          <w:bottom w:val="none" w:sz="0" w:space="0" w:color="auto"/>
        </w:tblBorders>
        <w:tblCellMar>
          <w:left w:w="57" w:type="dxa"/>
          <w:right w:w="57" w:type="dxa"/>
        </w:tblCellMar>
        <w:tblLook w:val="04A0" w:firstRow="1" w:lastRow="0" w:firstColumn="1" w:lastColumn="0" w:noHBand="0" w:noVBand="1"/>
      </w:tblPr>
      <w:tblGrid>
        <w:gridCol w:w="2413"/>
        <w:gridCol w:w="1085"/>
        <w:gridCol w:w="978"/>
        <w:gridCol w:w="1085"/>
        <w:gridCol w:w="1084"/>
        <w:gridCol w:w="1085"/>
        <w:gridCol w:w="1097"/>
        <w:gridCol w:w="866"/>
        <w:gridCol w:w="938"/>
      </w:tblGrid>
      <w:tr w:rsidR="00C632A8" w:rsidRPr="00770F6B" w14:paraId="7C01A298" w14:textId="77777777" w:rsidTr="00D10C95">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413" w:type="dxa"/>
            <w:shd w:val="clear" w:color="auto" w:fill="17365D" w:themeFill="text2" w:themeFillShade="BF"/>
            <w:vAlign w:val="center"/>
          </w:tcPr>
          <w:p w14:paraId="1BB9800C" w14:textId="77777777" w:rsidR="00C632A8" w:rsidRPr="00C37EEB" w:rsidRDefault="00C632A8" w:rsidP="00D10C95">
            <w:pPr>
              <w:pStyle w:val="NoSpacing"/>
              <w:rPr>
                <w:rFonts w:ascii="Arial" w:hAnsi="Arial" w:cs="Arial"/>
                <w:bCs w:val="0"/>
                <w:color w:val="F2F2F2" w:themeColor="background1" w:themeShade="F2"/>
                <w:sz w:val="18"/>
                <w:szCs w:val="18"/>
              </w:rPr>
            </w:pPr>
            <w:r w:rsidRPr="00C37EEB">
              <w:rPr>
                <w:rFonts w:ascii="Arial" w:hAnsi="Arial" w:cs="Arial"/>
                <w:bCs w:val="0"/>
                <w:color w:val="F2F2F2" w:themeColor="background1" w:themeShade="F2"/>
                <w:sz w:val="18"/>
                <w:szCs w:val="18"/>
              </w:rPr>
              <w:t>Average price/unit vs. YA</w:t>
            </w:r>
          </w:p>
        </w:tc>
        <w:tc>
          <w:tcPr>
            <w:tcW w:w="1085" w:type="dxa"/>
            <w:shd w:val="clear" w:color="auto" w:fill="17365D" w:themeFill="text2" w:themeFillShade="BF"/>
            <w:vAlign w:val="center"/>
          </w:tcPr>
          <w:p w14:paraId="3671FE90" w14:textId="77777777" w:rsidR="00C632A8" w:rsidRPr="006C208B" w:rsidRDefault="00C632A8" w:rsidP="00D10C95">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Q1 21</w:t>
            </w:r>
          </w:p>
        </w:tc>
        <w:tc>
          <w:tcPr>
            <w:tcW w:w="978" w:type="dxa"/>
            <w:shd w:val="clear" w:color="auto" w:fill="17365D" w:themeFill="text2" w:themeFillShade="BF"/>
            <w:vAlign w:val="center"/>
          </w:tcPr>
          <w:p w14:paraId="4E3FA89D" w14:textId="77777777" w:rsidR="00C632A8" w:rsidRPr="006C208B" w:rsidRDefault="00C632A8" w:rsidP="00D10C95">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Q2 21</w:t>
            </w:r>
          </w:p>
        </w:tc>
        <w:tc>
          <w:tcPr>
            <w:tcW w:w="1085" w:type="dxa"/>
            <w:shd w:val="clear" w:color="auto" w:fill="17365D" w:themeFill="text2" w:themeFillShade="BF"/>
            <w:vAlign w:val="center"/>
          </w:tcPr>
          <w:p w14:paraId="7B3461C1" w14:textId="77777777" w:rsidR="00C632A8" w:rsidRPr="006C208B" w:rsidRDefault="00C632A8" w:rsidP="00D10C95">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Q3 21</w:t>
            </w:r>
          </w:p>
        </w:tc>
        <w:tc>
          <w:tcPr>
            <w:tcW w:w="1084" w:type="dxa"/>
            <w:shd w:val="clear" w:color="auto" w:fill="17365D" w:themeFill="text2" w:themeFillShade="BF"/>
            <w:vAlign w:val="center"/>
          </w:tcPr>
          <w:p w14:paraId="23971756" w14:textId="77777777" w:rsidR="00C632A8" w:rsidRPr="006C208B" w:rsidRDefault="00C632A8" w:rsidP="00D10C95">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Q4 21</w:t>
            </w:r>
          </w:p>
        </w:tc>
        <w:tc>
          <w:tcPr>
            <w:tcW w:w="1085" w:type="dxa"/>
            <w:shd w:val="clear" w:color="auto" w:fill="17365D" w:themeFill="text2" w:themeFillShade="BF"/>
            <w:vAlign w:val="center"/>
          </w:tcPr>
          <w:p w14:paraId="7666F935" w14:textId="77777777" w:rsidR="00C632A8" w:rsidRDefault="00C632A8" w:rsidP="00D10C95">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 xml:space="preserve">Q1 22 </w:t>
            </w:r>
          </w:p>
        </w:tc>
        <w:tc>
          <w:tcPr>
            <w:tcW w:w="1097" w:type="dxa"/>
            <w:shd w:val="clear" w:color="auto" w:fill="17365D" w:themeFill="text2" w:themeFillShade="BF"/>
            <w:vAlign w:val="center"/>
          </w:tcPr>
          <w:p w14:paraId="67736495" w14:textId="77777777" w:rsidR="00C632A8" w:rsidRDefault="00C632A8" w:rsidP="00D10C95">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Q2 22</w:t>
            </w:r>
          </w:p>
        </w:tc>
        <w:tc>
          <w:tcPr>
            <w:tcW w:w="866" w:type="dxa"/>
            <w:shd w:val="clear" w:color="auto" w:fill="17365D" w:themeFill="text2" w:themeFillShade="BF"/>
            <w:vAlign w:val="center"/>
          </w:tcPr>
          <w:p w14:paraId="50E68B8F" w14:textId="77777777" w:rsidR="00C632A8" w:rsidRDefault="00C632A8" w:rsidP="00D10C95">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Q3 22</w:t>
            </w:r>
          </w:p>
        </w:tc>
        <w:tc>
          <w:tcPr>
            <w:tcW w:w="938" w:type="dxa"/>
            <w:shd w:val="clear" w:color="auto" w:fill="17365D" w:themeFill="text2" w:themeFillShade="BF"/>
            <w:vAlign w:val="center"/>
          </w:tcPr>
          <w:p w14:paraId="3784C836" w14:textId="77777777" w:rsidR="00C632A8" w:rsidRPr="006C208B" w:rsidRDefault="00C632A8" w:rsidP="00D10C95">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Sep 22</w:t>
            </w:r>
          </w:p>
        </w:tc>
      </w:tr>
      <w:tr w:rsidR="00C632A8" w:rsidRPr="007F5087" w14:paraId="2CE5B593" w14:textId="77777777" w:rsidTr="00D10C9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413" w:type="dxa"/>
            <w:tcBorders>
              <w:left w:val="none" w:sz="0" w:space="0" w:color="auto"/>
              <w:right w:val="none" w:sz="0" w:space="0" w:color="auto"/>
            </w:tcBorders>
            <w:vAlign w:val="center"/>
          </w:tcPr>
          <w:p w14:paraId="65C79F65" w14:textId="77777777" w:rsidR="00C632A8" w:rsidRPr="007F5087" w:rsidRDefault="00C632A8" w:rsidP="00D10C95">
            <w:pPr>
              <w:pStyle w:val="NoSpacing"/>
              <w:jc w:val="right"/>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Total food and beverages</w:t>
            </w:r>
          </w:p>
        </w:tc>
        <w:tc>
          <w:tcPr>
            <w:tcW w:w="1085" w:type="dxa"/>
            <w:tcBorders>
              <w:left w:val="none" w:sz="0" w:space="0" w:color="auto"/>
              <w:right w:val="none" w:sz="0" w:space="0" w:color="auto"/>
            </w:tcBorders>
            <w:vAlign w:val="center"/>
          </w:tcPr>
          <w:p w14:paraId="363AE166" w14:textId="77777777" w:rsidR="00C632A8" w:rsidRPr="007F5087" w:rsidRDefault="00C632A8" w:rsidP="00D10C9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+5.5%</w:t>
            </w:r>
          </w:p>
        </w:tc>
        <w:tc>
          <w:tcPr>
            <w:tcW w:w="978" w:type="dxa"/>
            <w:tcBorders>
              <w:left w:val="none" w:sz="0" w:space="0" w:color="auto"/>
              <w:right w:val="none" w:sz="0" w:space="0" w:color="auto"/>
            </w:tcBorders>
            <w:vAlign w:val="center"/>
          </w:tcPr>
          <w:p w14:paraId="0BE5DBA0" w14:textId="77777777" w:rsidR="00C632A8" w:rsidRPr="007F5087" w:rsidRDefault="00C632A8" w:rsidP="00D10C9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+2.7%</w:t>
            </w:r>
          </w:p>
        </w:tc>
        <w:tc>
          <w:tcPr>
            <w:tcW w:w="1085" w:type="dxa"/>
            <w:tcBorders>
              <w:left w:val="none" w:sz="0" w:space="0" w:color="auto"/>
              <w:right w:val="none" w:sz="0" w:space="0" w:color="auto"/>
            </w:tcBorders>
            <w:vAlign w:val="center"/>
          </w:tcPr>
          <w:p w14:paraId="0C274D3D" w14:textId="77777777" w:rsidR="00C632A8" w:rsidRPr="007F5087" w:rsidRDefault="00C632A8" w:rsidP="00D10C9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+5.0%</w:t>
            </w:r>
          </w:p>
        </w:tc>
        <w:tc>
          <w:tcPr>
            <w:tcW w:w="1084" w:type="dxa"/>
            <w:tcBorders>
              <w:left w:val="none" w:sz="0" w:space="0" w:color="auto"/>
              <w:right w:val="none" w:sz="0" w:space="0" w:color="auto"/>
            </w:tcBorders>
            <w:vAlign w:val="center"/>
          </w:tcPr>
          <w:p w14:paraId="5ACAD4E8" w14:textId="77777777" w:rsidR="00C632A8" w:rsidRPr="007F5087" w:rsidRDefault="00C632A8" w:rsidP="00D10C9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+8.0%</w:t>
            </w:r>
          </w:p>
        </w:tc>
        <w:tc>
          <w:tcPr>
            <w:tcW w:w="1085" w:type="dxa"/>
            <w:tcBorders>
              <w:left w:val="none" w:sz="0" w:space="0" w:color="auto"/>
              <w:right w:val="none" w:sz="0" w:space="0" w:color="auto"/>
            </w:tcBorders>
            <w:vAlign w:val="center"/>
          </w:tcPr>
          <w:p w14:paraId="3256A784" w14:textId="77777777" w:rsidR="00C632A8" w:rsidRPr="007F5087" w:rsidRDefault="00C632A8" w:rsidP="00D10C9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+9.9%</w:t>
            </w:r>
          </w:p>
        </w:tc>
        <w:tc>
          <w:tcPr>
            <w:tcW w:w="1097" w:type="dxa"/>
            <w:tcBorders>
              <w:left w:val="none" w:sz="0" w:space="0" w:color="auto"/>
              <w:right w:val="none" w:sz="0" w:space="0" w:color="auto"/>
            </w:tcBorders>
            <w:vAlign w:val="center"/>
          </w:tcPr>
          <w:p w14:paraId="4165479F" w14:textId="77777777" w:rsidR="00C632A8" w:rsidRPr="007F5087" w:rsidRDefault="00C632A8" w:rsidP="00D10C9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w:t>
            </w:r>
            <w:r>
              <w:rPr>
                <w:rFonts w:ascii="Arial" w:hAnsi="Arial" w:cs="Arial"/>
                <w:color w:val="215868" w:themeColor="accent5" w:themeShade="80"/>
                <w:sz w:val="18"/>
                <w:szCs w:val="18"/>
              </w:rPr>
              <w:t>11.9</w:t>
            </w:r>
            <w:r w:rsidRPr="007F5087">
              <w:rPr>
                <w:rFonts w:ascii="Arial" w:hAnsi="Arial" w:cs="Arial"/>
                <w:color w:val="215868" w:themeColor="accent5" w:themeShade="80"/>
                <w:sz w:val="18"/>
                <w:szCs w:val="18"/>
              </w:rPr>
              <w:t>%</w:t>
            </w:r>
          </w:p>
        </w:tc>
        <w:tc>
          <w:tcPr>
            <w:tcW w:w="866" w:type="dxa"/>
            <w:tcBorders>
              <w:left w:val="none" w:sz="0" w:space="0" w:color="auto"/>
              <w:right w:val="none" w:sz="0" w:space="0" w:color="auto"/>
            </w:tcBorders>
          </w:tcPr>
          <w:p w14:paraId="65798257" w14:textId="77777777" w:rsidR="00C632A8" w:rsidRPr="007F5087" w:rsidRDefault="00C632A8" w:rsidP="00D10C9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+14.0%</w:t>
            </w:r>
          </w:p>
        </w:tc>
        <w:tc>
          <w:tcPr>
            <w:tcW w:w="938" w:type="dxa"/>
            <w:tcBorders>
              <w:left w:val="none" w:sz="0" w:space="0" w:color="auto"/>
              <w:right w:val="none" w:sz="0" w:space="0" w:color="auto"/>
            </w:tcBorders>
            <w:vAlign w:val="center"/>
          </w:tcPr>
          <w:p w14:paraId="018A2CCF" w14:textId="77777777" w:rsidR="00C632A8" w:rsidRPr="007F5087" w:rsidRDefault="00C632A8" w:rsidP="00D10C9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w:t>
            </w:r>
            <w:r>
              <w:rPr>
                <w:rFonts w:ascii="Arial" w:hAnsi="Arial" w:cs="Arial"/>
                <w:color w:val="215868" w:themeColor="accent5" w:themeShade="80"/>
                <w:sz w:val="18"/>
                <w:szCs w:val="18"/>
              </w:rPr>
              <w:t>14.3</w:t>
            </w:r>
            <w:r w:rsidRPr="007F5087">
              <w:rPr>
                <w:rFonts w:ascii="Arial" w:hAnsi="Arial" w:cs="Arial"/>
                <w:color w:val="215868" w:themeColor="accent5" w:themeShade="80"/>
                <w:sz w:val="18"/>
                <w:szCs w:val="18"/>
              </w:rPr>
              <w:t>%</w:t>
            </w:r>
          </w:p>
        </w:tc>
      </w:tr>
    </w:tbl>
    <w:p w14:paraId="0373A0F9" w14:textId="77777777" w:rsidR="00C632A8" w:rsidRDefault="00C632A8" w:rsidP="00C632A8">
      <w:pPr>
        <w:pStyle w:val="NoSpacing"/>
        <w:tabs>
          <w:tab w:val="left" w:pos="8991"/>
        </w:tabs>
        <w:rPr>
          <w:rFonts w:ascii="Arial" w:hAnsi="Arial" w:cs="Arial"/>
          <w:sz w:val="16"/>
          <w:szCs w:val="16"/>
        </w:rPr>
      </w:pPr>
      <w:r>
        <w:rPr>
          <w:rFonts w:ascii="Arial" w:hAnsi="Arial" w:cs="Arial"/>
          <w:sz w:val="16"/>
          <w:szCs w:val="16"/>
        </w:rPr>
        <w:tab/>
      </w:r>
    </w:p>
    <w:p w14:paraId="05F323E6" w14:textId="77777777" w:rsidR="00C632A8" w:rsidRPr="006879B2" w:rsidRDefault="00C632A8" w:rsidP="00C632A8">
      <w:pPr>
        <w:pStyle w:val="NoSpacing"/>
        <w:rPr>
          <w:rFonts w:ascii="Arial" w:hAnsi="Arial" w:cs="Arial"/>
          <w:sz w:val="16"/>
          <w:szCs w:val="16"/>
        </w:rPr>
      </w:pPr>
      <w:r>
        <w:rPr>
          <w:rFonts w:ascii="Arial" w:hAnsi="Arial" w:cs="Arial"/>
          <w:sz w:val="16"/>
          <w:szCs w:val="16"/>
        </w:rPr>
        <w:t xml:space="preserve">Source: IRI, Integrated Fresh, Total US, MULO, average price per unit and % gain versus YA </w:t>
      </w:r>
    </w:p>
    <w:bookmarkEnd w:id="1"/>
    <w:p w14:paraId="656F8D07" w14:textId="10CDFE1B" w:rsidR="009C35DD" w:rsidRDefault="00091743" w:rsidP="00AD3F7F">
      <w:pPr>
        <w:spacing w:after="0" w:line="240" w:lineRule="auto"/>
        <w:rPr>
          <w:rFonts w:ascii="Arial" w:hAnsi="Arial" w:cs="Arial"/>
          <w:color w:val="000000" w:themeColor="text1"/>
          <w:sz w:val="20"/>
          <w:szCs w:val="20"/>
        </w:rPr>
      </w:pPr>
      <w:r w:rsidRPr="00BA70F4">
        <w:rPr>
          <w:rFonts w:ascii="Arial" w:hAnsi="Arial" w:cs="Arial"/>
          <w:color w:val="000000" w:themeColor="text1"/>
          <w:sz w:val="20"/>
          <w:szCs w:val="20"/>
        </w:rPr>
        <w:lastRenderedPageBreak/>
        <w:t>The average price per pound in the meat department</w:t>
      </w:r>
      <w:r w:rsidR="003B1161">
        <w:rPr>
          <w:rFonts w:ascii="Arial" w:hAnsi="Arial" w:cs="Arial"/>
          <w:color w:val="000000" w:themeColor="text1"/>
          <w:sz w:val="20"/>
          <w:szCs w:val="20"/>
        </w:rPr>
        <w:t xml:space="preserve"> across all cuts and kinds</w:t>
      </w:r>
      <w:r w:rsidR="006A467B" w:rsidRPr="00BA70F4">
        <w:rPr>
          <w:rFonts w:ascii="Arial" w:hAnsi="Arial" w:cs="Arial"/>
          <w:color w:val="000000" w:themeColor="text1"/>
          <w:sz w:val="20"/>
          <w:szCs w:val="20"/>
        </w:rPr>
        <w:t xml:space="preserve">, </w:t>
      </w:r>
      <w:r w:rsidR="00E72ED1" w:rsidRPr="00BA70F4">
        <w:rPr>
          <w:rFonts w:ascii="Arial" w:hAnsi="Arial" w:cs="Arial"/>
          <w:color w:val="000000" w:themeColor="text1"/>
          <w:sz w:val="20"/>
          <w:szCs w:val="20"/>
        </w:rPr>
        <w:t xml:space="preserve">both fixed and random weight, </w:t>
      </w:r>
      <w:r w:rsidR="006A467B" w:rsidRPr="00BA70F4">
        <w:rPr>
          <w:rFonts w:ascii="Arial" w:hAnsi="Arial" w:cs="Arial"/>
          <w:color w:val="000000" w:themeColor="text1"/>
          <w:sz w:val="20"/>
          <w:szCs w:val="20"/>
        </w:rPr>
        <w:t xml:space="preserve">stood at </w:t>
      </w:r>
      <w:r w:rsidR="008C01A5">
        <w:rPr>
          <w:rFonts w:ascii="Arial" w:hAnsi="Arial" w:cs="Arial"/>
          <w:color w:val="000000" w:themeColor="text1"/>
          <w:sz w:val="20"/>
          <w:szCs w:val="20"/>
        </w:rPr>
        <w:t>$</w:t>
      </w:r>
      <w:r w:rsidR="00C632A8">
        <w:rPr>
          <w:rFonts w:ascii="Arial" w:hAnsi="Arial" w:cs="Arial"/>
          <w:color w:val="000000" w:themeColor="text1"/>
          <w:sz w:val="20"/>
          <w:szCs w:val="20"/>
        </w:rPr>
        <w:t>4.60</w:t>
      </w:r>
      <w:r w:rsidR="008C01A5">
        <w:rPr>
          <w:rFonts w:ascii="Arial" w:hAnsi="Arial" w:cs="Arial"/>
          <w:color w:val="000000" w:themeColor="text1"/>
          <w:sz w:val="20"/>
          <w:szCs w:val="20"/>
        </w:rPr>
        <w:t xml:space="preserve"> in </w:t>
      </w:r>
      <w:r w:rsidR="00C632A8">
        <w:rPr>
          <w:rFonts w:ascii="Arial" w:hAnsi="Arial" w:cs="Arial"/>
          <w:color w:val="000000" w:themeColor="text1"/>
          <w:sz w:val="20"/>
          <w:szCs w:val="20"/>
        </w:rPr>
        <w:t xml:space="preserve">September </w:t>
      </w:r>
      <w:r w:rsidR="008C01A5">
        <w:rPr>
          <w:rFonts w:ascii="Arial" w:hAnsi="Arial" w:cs="Arial"/>
          <w:color w:val="000000" w:themeColor="text1"/>
          <w:sz w:val="20"/>
          <w:szCs w:val="20"/>
        </w:rPr>
        <w:t>2022</w:t>
      </w:r>
      <w:r w:rsidR="00C632A8">
        <w:rPr>
          <w:rFonts w:ascii="Arial" w:hAnsi="Arial" w:cs="Arial"/>
          <w:color w:val="000000" w:themeColor="text1"/>
          <w:sz w:val="20"/>
          <w:szCs w:val="20"/>
        </w:rPr>
        <w:t xml:space="preserve"> — continuing a trend of deceleration price increases. This is also illustrated by the month-over-month inflation being up 6.8% versus the latest 52-week view showing a 10.9% increase. </w:t>
      </w:r>
      <w:r w:rsidR="007A1852">
        <w:rPr>
          <w:rFonts w:ascii="Arial" w:hAnsi="Arial" w:cs="Arial"/>
          <w:color w:val="000000" w:themeColor="text1"/>
          <w:sz w:val="20"/>
          <w:szCs w:val="20"/>
        </w:rPr>
        <w:t xml:space="preserve">This </w:t>
      </w:r>
      <w:r w:rsidR="00C632A8">
        <w:rPr>
          <w:rFonts w:ascii="Arial" w:hAnsi="Arial" w:cs="Arial"/>
          <w:color w:val="000000" w:themeColor="text1"/>
          <w:sz w:val="20"/>
          <w:szCs w:val="20"/>
        </w:rPr>
        <w:t xml:space="preserve">also </w:t>
      </w:r>
      <w:r w:rsidR="007A1852">
        <w:rPr>
          <w:rFonts w:ascii="Arial" w:hAnsi="Arial" w:cs="Arial"/>
          <w:color w:val="000000" w:themeColor="text1"/>
          <w:sz w:val="20"/>
          <w:szCs w:val="20"/>
        </w:rPr>
        <w:t>means m</w:t>
      </w:r>
      <w:r w:rsidR="008662B7">
        <w:rPr>
          <w:rFonts w:ascii="Arial" w:hAnsi="Arial" w:cs="Arial"/>
          <w:color w:val="000000" w:themeColor="text1"/>
          <w:sz w:val="20"/>
          <w:szCs w:val="20"/>
        </w:rPr>
        <w:t>e</w:t>
      </w:r>
      <w:r w:rsidR="007A1852">
        <w:rPr>
          <w:rFonts w:ascii="Arial" w:hAnsi="Arial" w:cs="Arial"/>
          <w:color w:val="000000" w:themeColor="text1"/>
          <w:sz w:val="20"/>
          <w:szCs w:val="20"/>
        </w:rPr>
        <w:t>at had below</w:t>
      </w:r>
      <w:r w:rsidR="00B77C54">
        <w:rPr>
          <w:rFonts w:ascii="Arial" w:hAnsi="Arial" w:cs="Arial"/>
          <w:color w:val="000000" w:themeColor="text1"/>
          <w:sz w:val="20"/>
          <w:szCs w:val="20"/>
        </w:rPr>
        <w:t>-</w:t>
      </w:r>
      <w:r w:rsidR="007A1852">
        <w:rPr>
          <w:rFonts w:ascii="Arial" w:hAnsi="Arial" w:cs="Arial"/>
          <w:color w:val="000000" w:themeColor="text1"/>
          <w:sz w:val="20"/>
          <w:szCs w:val="20"/>
        </w:rPr>
        <w:t xml:space="preserve">average inflation compared to </w:t>
      </w:r>
      <w:r w:rsidR="008C01A5">
        <w:rPr>
          <w:rFonts w:ascii="Arial" w:hAnsi="Arial" w:cs="Arial"/>
          <w:color w:val="000000" w:themeColor="text1"/>
          <w:sz w:val="20"/>
          <w:szCs w:val="20"/>
        </w:rPr>
        <w:t>total food</w:t>
      </w:r>
      <w:r w:rsidR="008662B7">
        <w:rPr>
          <w:rFonts w:ascii="Arial" w:hAnsi="Arial" w:cs="Arial"/>
          <w:color w:val="000000" w:themeColor="text1"/>
          <w:sz w:val="20"/>
          <w:szCs w:val="20"/>
        </w:rPr>
        <w:t>s</w:t>
      </w:r>
      <w:r w:rsidR="008C01A5">
        <w:rPr>
          <w:rFonts w:ascii="Arial" w:hAnsi="Arial" w:cs="Arial"/>
          <w:color w:val="000000" w:themeColor="text1"/>
          <w:sz w:val="20"/>
          <w:szCs w:val="20"/>
        </w:rPr>
        <w:t xml:space="preserve"> and beverage</w:t>
      </w:r>
      <w:r w:rsidR="00620ED4">
        <w:rPr>
          <w:rFonts w:ascii="Arial" w:hAnsi="Arial" w:cs="Arial"/>
          <w:color w:val="000000" w:themeColor="text1"/>
          <w:sz w:val="20"/>
          <w:szCs w:val="20"/>
        </w:rPr>
        <w:t>s</w:t>
      </w:r>
      <w:r w:rsidR="00C632A8">
        <w:rPr>
          <w:rFonts w:ascii="Arial" w:hAnsi="Arial" w:cs="Arial"/>
          <w:color w:val="000000" w:themeColor="text1"/>
          <w:sz w:val="20"/>
          <w:szCs w:val="20"/>
        </w:rPr>
        <w:t>, especially on the fresh meat side</w:t>
      </w:r>
      <w:r w:rsidRPr="00BA70F4">
        <w:rPr>
          <w:rFonts w:ascii="Arial" w:hAnsi="Arial" w:cs="Arial"/>
          <w:color w:val="000000" w:themeColor="text1"/>
          <w:sz w:val="20"/>
          <w:szCs w:val="20"/>
        </w:rPr>
        <w:t xml:space="preserve">. </w:t>
      </w:r>
      <w:r w:rsidR="007B397A">
        <w:rPr>
          <w:rFonts w:ascii="Arial" w:hAnsi="Arial" w:cs="Arial"/>
          <w:color w:val="000000" w:themeColor="text1"/>
          <w:sz w:val="20"/>
          <w:szCs w:val="20"/>
        </w:rPr>
        <w:t>Inflation in processed meat</w:t>
      </w:r>
      <w:r w:rsidR="007A1852">
        <w:rPr>
          <w:rFonts w:ascii="Arial" w:hAnsi="Arial" w:cs="Arial"/>
          <w:color w:val="000000" w:themeColor="text1"/>
          <w:sz w:val="20"/>
          <w:szCs w:val="20"/>
        </w:rPr>
        <w:t xml:space="preserve"> did stay in the double digits, at +</w:t>
      </w:r>
      <w:r w:rsidR="00C632A8">
        <w:rPr>
          <w:rFonts w:ascii="Arial" w:hAnsi="Arial" w:cs="Arial"/>
          <w:color w:val="000000" w:themeColor="text1"/>
          <w:sz w:val="20"/>
          <w:szCs w:val="20"/>
        </w:rPr>
        <w:t>11.1</w:t>
      </w:r>
      <w:r w:rsidR="007A1852">
        <w:rPr>
          <w:rFonts w:ascii="Arial" w:hAnsi="Arial" w:cs="Arial"/>
          <w:color w:val="000000" w:themeColor="text1"/>
          <w:sz w:val="20"/>
          <w:szCs w:val="20"/>
        </w:rPr>
        <w:t xml:space="preserve">% in </w:t>
      </w:r>
      <w:r w:rsidR="00C632A8">
        <w:rPr>
          <w:rFonts w:ascii="Arial" w:hAnsi="Arial" w:cs="Arial"/>
          <w:color w:val="000000" w:themeColor="text1"/>
          <w:sz w:val="20"/>
          <w:szCs w:val="20"/>
        </w:rPr>
        <w:t xml:space="preserve">September </w:t>
      </w:r>
      <w:r w:rsidR="007A1852">
        <w:rPr>
          <w:rFonts w:ascii="Arial" w:hAnsi="Arial" w:cs="Arial"/>
          <w:color w:val="000000" w:themeColor="text1"/>
          <w:sz w:val="20"/>
          <w:szCs w:val="20"/>
        </w:rPr>
        <w:t>2022</w:t>
      </w:r>
      <w:r>
        <w:rPr>
          <w:rFonts w:ascii="Arial" w:hAnsi="Arial" w:cs="Arial"/>
          <w:color w:val="000000" w:themeColor="text1"/>
          <w:sz w:val="20"/>
          <w:szCs w:val="20"/>
        </w:rPr>
        <w:t>.</w:t>
      </w:r>
      <w:r w:rsidR="008C4842">
        <w:rPr>
          <w:rFonts w:ascii="Arial" w:hAnsi="Arial" w:cs="Arial"/>
          <w:color w:val="000000" w:themeColor="text1"/>
          <w:sz w:val="20"/>
          <w:szCs w:val="20"/>
        </w:rPr>
        <w:t xml:space="preserve"> </w:t>
      </w:r>
    </w:p>
    <w:p w14:paraId="03822801" w14:textId="77777777" w:rsidR="003C65CF" w:rsidRDefault="003C65CF" w:rsidP="00AD3F7F">
      <w:pPr>
        <w:spacing w:after="0" w:line="240" w:lineRule="auto"/>
        <w:rPr>
          <w:rFonts w:ascii="Arial" w:hAnsi="Arial" w:cs="Arial"/>
          <w:color w:val="000000" w:themeColor="text1"/>
          <w:sz w:val="20"/>
          <w:szCs w:val="20"/>
        </w:rPr>
      </w:pPr>
    </w:p>
    <w:tbl>
      <w:tblPr>
        <w:tblStyle w:val="LightShading-Accent5"/>
        <w:tblW w:w="9900" w:type="dxa"/>
        <w:tblBorders>
          <w:top w:val="none" w:sz="0" w:space="0" w:color="auto"/>
          <w:bottom w:val="none" w:sz="0" w:space="0" w:color="auto"/>
        </w:tblBorders>
        <w:tblLook w:val="04A0" w:firstRow="1" w:lastRow="0" w:firstColumn="1" w:lastColumn="0" w:noHBand="0" w:noVBand="1"/>
      </w:tblPr>
      <w:tblGrid>
        <w:gridCol w:w="4500"/>
        <w:gridCol w:w="1568"/>
        <w:gridCol w:w="1916"/>
        <w:gridCol w:w="1916"/>
      </w:tblGrid>
      <w:tr w:rsidR="003C65CF" w:rsidRPr="002A71C0" w14:paraId="6D441614" w14:textId="77777777" w:rsidTr="00481A5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500" w:type="dxa"/>
            <w:tcBorders>
              <w:top w:val="none" w:sz="0" w:space="0" w:color="auto"/>
              <w:bottom w:val="none" w:sz="0" w:space="0" w:color="auto"/>
            </w:tcBorders>
            <w:shd w:val="clear" w:color="auto" w:fill="17365D" w:themeFill="text2" w:themeFillShade="BF"/>
            <w:vAlign w:val="center"/>
          </w:tcPr>
          <w:p w14:paraId="33455567" w14:textId="13444585" w:rsidR="003C65CF" w:rsidRPr="006879B2" w:rsidRDefault="000B35DB" w:rsidP="00481A57">
            <w:pPr>
              <w:pStyle w:val="NoSpacing"/>
              <w:rPr>
                <w:rFonts w:ascii="Arial" w:hAnsi="Arial" w:cs="Arial"/>
                <w:color w:val="FFFFFF" w:themeColor="background1"/>
                <w:sz w:val="18"/>
                <w:szCs w:val="18"/>
              </w:rPr>
            </w:pPr>
            <w:r>
              <w:rPr>
                <w:rFonts w:ascii="Arial" w:hAnsi="Arial" w:cs="Arial"/>
                <w:color w:val="FFFFFF" w:themeColor="background1"/>
                <w:sz w:val="18"/>
                <w:szCs w:val="18"/>
              </w:rPr>
              <w:t>Price inflation (price/</w:t>
            </w:r>
            <w:r w:rsidR="003B1161">
              <w:rPr>
                <w:rFonts w:ascii="Arial" w:hAnsi="Arial" w:cs="Arial"/>
                <w:color w:val="FFFFFF" w:themeColor="background1"/>
                <w:sz w:val="18"/>
                <w:szCs w:val="18"/>
              </w:rPr>
              <w:t>volume</w:t>
            </w:r>
            <w:r>
              <w:rPr>
                <w:rFonts w:ascii="Arial" w:hAnsi="Arial" w:cs="Arial"/>
                <w:color w:val="FFFFFF" w:themeColor="background1"/>
                <w:sz w:val="18"/>
                <w:szCs w:val="18"/>
              </w:rPr>
              <w:t>)</w:t>
            </w:r>
          </w:p>
        </w:tc>
        <w:tc>
          <w:tcPr>
            <w:tcW w:w="1568" w:type="dxa"/>
            <w:tcBorders>
              <w:top w:val="none" w:sz="0" w:space="0" w:color="auto"/>
              <w:bottom w:val="none" w:sz="0" w:space="0" w:color="auto"/>
            </w:tcBorders>
            <w:shd w:val="clear" w:color="auto" w:fill="17365D" w:themeFill="text2" w:themeFillShade="BF"/>
            <w:vAlign w:val="center"/>
          </w:tcPr>
          <w:p w14:paraId="05EA1C40" w14:textId="77777777"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Price/volume</w:t>
            </w:r>
          </w:p>
        </w:tc>
        <w:tc>
          <w:tcPr>
            <w:tcW w:w="1916" w:type="dxa"/>
            <w:tcBorders>
              <w:top w:val="none" w:sz="0" w:space="0" w:color="auto"/>
              <w:bottom w:val="none" w:sz="0" w:space="0" w:color="auto"/>
            </w:tcBorders>
            <w:shd w:val="clear" w:color="auto" w:fill="17365D" w:themeFill="text2" w:themeFillShade="BF"/>
            <w:vAlign w:val="center"/>
          </w:tcPr>
          <w:p w14:paraId="1FB11B24" w14:textId="77777777"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Change vs. 202</w:t>
            </w:r>
            <w:r w:rsidR="00756902">
              <w:rPr>
                <w:rFonts w:ascii="Arial" w:hAnsi="Arial" w:cs="Arial"/>
                <w:color w:val="FFFFFF" w:themeColor="background1"/>
                <w:sz w:val="18"/>
                <w:szCs w:val="18"/>
              </w:rPr>
              <w:t>1</w:t>
            </w:r>
          </w:p>
        </w:tc>
        <w:tc>
          <w:tcPr>
            <w:tcW w:w="1916" w:type="dxa"/>
            <w:tcBorders>
              <w:top w:val="none" w:sz="0" w:space="0" w:color="auto"/>
              <w:bottom w:val="none" w:sz="0" w:space="0" w:color="auto"/>
            </w:tcBorders>
            <w:shd w:val="clear" w:color="auto" w:fill="17365D" w:themeFill="text2" w:themeFillShade="BF"/>
            <w:vAlign w:val="center"/>
          </w:tcPr>
          <w:p w14:paraId="686B08F9" w14:textId="58CA2C9C"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Change vs. 20</w:t>
            </w:r>
            <w:r w:rsidR="00620ED4">
              <w:rPr>
                <w:rFonts w:ascii="Arial" w:hAnsi="Arial" w:cs="Arial"/>
                <w:color w:val="FFFFFF" w:themeColor="background1"/>
                <w:sz w:val="18"/>
                <w:szCs w:val="18"/>
              </w:rPr>
              <w:t>19</w:t>
            </w:r>
          </w:p>
        </w:tc>
      </w:tr>
      <w:tr w:rsidR="00756902" w:rsidRPr="003C65CF" w14:paraId="09ED1CF0" w14:textId="77777777" w:rsidTr="0087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80FE8B6" w14:textId="021164CC" w:rsidR="00756902" w:rsidRPr="003C65CF" w:rsidRDefault="00756902" w:rsidP="00A11196">
            <w:pPr>
              <w:pStyle w:val="NoSpacing"/>
              <w:jc w:val="right"/>
              <w:rPr>
                <w:rFonts w:ascii="Arial" w:hAnsi="Arial" w:cs="Arial"/>
                <w:b w:val="0"/>
                <w:bCs w:val="0"/>
                <w:color w:val="215868" w:themeColor="accent5" w:themeShade="80"/>
                <w:sz w:val="18"/>
                <w:szCs w:val="18"/>
              </w:rPr>
            </w:pPr>
            <w:r>
              <w:rPr>
                <w:rFonts w:ascii="Arial" w:hAnsi="Arial" w:cs="Arial"/>
                <w:b w:val="0"/>
                <w:bCs w:val="0"/>
                <w:color w:val="215868" w:themeColor="accent5" w:themeShade="80"/>
                <w:sz w:val="18"/>
                <w:szCs w:val="18"/>
              </w:rPr>
              <w:t xml:space="preserve">Total meat (FW and RW) </w:t>
            </w:r>
            <w:r w:rsidR="00A11196">
              <w:rPr>
                <w:rFonts w:ascii="Arial" w:hAnsi="Arial" w:cs="Arial"/>
                <w:b w:val="0"/>
                <w:bCs w:val="0"/>
                <w:color w:val="215868" w:themeColor="accent5" w:themeShade="80"/>
                <w:sz w:val="18"/>
                <w:szCs w:val="18"/>
              </w:rPr>
              <w:t>September</w:t>
            </w:r>
            <w:r w:rsidR="008C01A5">
              <w:rPr>
                <w:rFonts w:ascii="Arial" w:hAnsi="Arial" w:cs="Arial"/>
                <w:b w:val="0"/>
                <w:bCs w:val="0"/>
                <w:color w:val="215868" w:themeColor="accent5" w:themeShade="80"/>
                <w:sz w:val="18"/>
                <w:szCs w:val="18"/>
              </w:rPr>
              <w:t xml:space="preserve"> </w:t>
            </w:r>
            <w:r>
              <w:rPr>
                <w:rFonts w:ascii="Arial" w:hAnsi="Arial" w:cs="Arial"/>
                <w:b w:val="0"/>
                <w:bCs w:val="0"/>
                <w:color w:val="215868" w:themeColor="accent5" w:themeShade="80"/>
                <w:sz w:val="18"/>
                <w:szCs w:val="18"/>
              </w:rPr>
              <w:t>2022</w:t>
            </w:r>
          </w:p>
        </w:tc>
        <w:tc>
          <w:tcPr>
            <w:tcW w:w="1568" w:type="dxa"/>
          </w:tcPr>
          <w:p w14:paraId="455F7A3D" w14:textId="6CA4A24F" w:rsidR="00756902" w:rsidRPr="003C65CF" w:rsidRDefault="00756902" w:rsidP="00E36985">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3C65CF">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4.60</w:t>
            </w:r>
          </w:p>
        </w:tc>
        <w:tc>
          <w:tcPr>
            <w:tcW w:w="1916" w:type="dxa"/>
          </w:tcPr>
          <w:p w14:paraId="7AE1541E" w14:textId="2DA357DE" w:rsidR="00756902" w:rsidRPr="003C65CF" w:rsidRDefault="00756902" w:rsidP="00E369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6.8</w:t>
            </w:r>
            <w:r w:rsidR="008662B7">
              <w:rPr>
                <w:rFonts w:ascii="Arial" w:hAnsi="Arial" w:cs="Arial"/>
                <w:color w:val="215868" w:themeColor="accent5" w:themeShade="80"/>
                <w:sz w:val="18"/>
                <w:szCs w:val="18"/>
              </w:rPr>
              <w:t>%</w:t>
            </w:r>
          </w:p>
        </w:tc>
        <w:tc>
          <w:tcPr>
            <w:tcW w:w="1916" w:type="dxa"/>
          </w:tcPr>
          <w:p w14:paraId="3164FA8F" w14:textId="0E2889F2" w:rsidR="00756902" w:rsidRDefault="00756902" w:rsidP="00E36985">
            <w:pPr>
              <w:jc w:val="right"/>
              <w:cnfStyle w:val="000000100000" w:firstRow="0" w:lastRow="0" w:firstColumn="0" w:lastColumn="0" w:oddVBand="0" w:evenVBand="0" w:oddHBand="1" w:evenHBand="0" w:firstRowFirstColumn="0" w:firstRowLastColumn="0" w:lastRowFirstColumn="0" w:lastRowLastColumn="0"/>
            </w:pPr>
            <w:r w:rsidRPr="00927ADE">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26.3</w:t>
            </w:r>
            <w:r w:rsidRPr="00927ADE">
              <w:rPr>
                <w:rFonts w:ascii="Arial" w:hAnsi="Arial" w:cs="Arial"/>
                <w:color w:val="215868" w:themeColor="accent5" w:themeShade="80"/>
                <w:sz w:val="18"/>
                <w:szCs w:val="18"/>
              </w:rPr>
              <w:t>%</w:t>
            </w:r>
          </w:p>
        </w:tc>
      </w:tr>
      <w:tr w:rsidR="008662B7" w:rsidRPr="003C65CF" w14:paraId="5EE5E6D3" w14:textId="77777777" w:rsidTr="00875259">
        <w:trPr>
          <w:trHeight w:val="355"/>
        </w:trPr>
        <w:tc>
          <w:tcPr>
            <w:cnfStyle w:val="001000000000" w:firstRow="0" w:lastRow="0" w:firstColumn="1" w:lastColumn="0" w:oddVBand="0" w:evenVBand="0" w:oddHBand="0" w:evenHBand="0" w:firstRowFirstColumn="0" w:firstRowLastColumn="0" w:lastRowFirstColumn="0" w:lastRowLastColumn="0"/>
            <w:tcW w:w="4500" w:type="dxa"/>
          </w:tcPr>
          <w:p w14:paraId="687BE69F" w14:textId="5F71B494" w:rsidR="008662B7" w:rsidRPr="003C65CF" w:rsidRDefault="008662B7" w:rsidP="008662B7">
            <w:pPr>
              <w:pStyle w:val="NoSpacing"/>
              <w:jc w:val="right"/>
              <w:rPr>
                <w:rFonts w:ascii="Arial" w:hAnsi="Arial" w:cs="Arial"/>
                <w:b w:val="0"/>
                <w:bCs w:val="0"/>
                <w:color w:val="215868" w:themeColor="accent5" w:themeShade="80"/>
                <w:sz w:val="18"/>
                <w:szCs w:val="18"/>
              </w:rPr>
            </w:pPr>
            <w:r>
              <w:rPr>
                <w:rFonts w:ascii="Arial" w:hAnsi="Arial" w:cs="Arial"/>
                <w:b w:val="0"/>
                <w:bCs w:val="0"/>
                <w:color w:val="215868" w:themeColor="accent5" w:themeShade="80"/>
                <w:sz w:val="18"/>
                <w:szCs w:val="18"/>
              </w:rPr>
              <w:t>Total meat latest 52 weeks</w:t>
            </w:r>
          </w:p>
        </w:tc>
        <w:tc>
          <w:tcPr>
            <w:tcW w:w="1568" w:type="dxa"/>
          </w:tcPr>
          <w:p w14:paraId="744B4DE1" w14:textId="554EC95F" w:rsidR="008662B7" w:rsidRDefault="008662B7" w:rsidP="008662B7">
            <w:pPr>
              <w:jc w:val="right"/>
              <w:cnfStyle w:val="000000000000" w:firstRow="0" w:lastRow="0" w:firstColumn="0" w:lastColumn="0" w:oddVBand="0" w:evenVBand="0" w:oddHBand="0" w:evenHBand="0" w:firstRowFirstColumn="0" w:firstRowLastColumn="0" w:lastRowFirstColumn="0" w:lastRowLastColumn="0"/>
            </w:pPr>
            <w:r w:rsidRPr="003C65CF">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4.36</w:t>
            </w:r>
          </w:p>
        </w:tc>
        <w:tc>
          <w:tcPr>
            <w:tcW w:w="1916" w:type="dxa"/>
          </w:tcPr>
          <w:p w14:paraId="07F7B511" w14:textId="520AED5D" w:rsidR="008662B7" w:rsidRDefault="00A11196" w:rsidP="008662B7">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10.9</w:t>
            </w:r>
            <w:r w:rsidR="008662B7">
              <w:rPr>
                <w:rFonts w:ascii="Arial" w:hAnsi="Arial" w:cs="Arial"/>
                <w:color w:val="215868" w:themeColor="accent5" w:themeShade="80"/>
                <w:sz w:val="18"/>
                <w:szCs w:val="18"/>
              </w:rPr>
              <w:t>%</w:t>
            </w:r>
          </w:p>
        </w:tc>
        <w:tc>
          <w:tcPr>
            <w:tcW w:w="1916" w:type="dxa"/>
          </w:tcPr>
          <w:p w14:paraId="44E9F842" w14:textId="7E012E80" w:rsidR="008662B7" w:rsidRDefault="008662B7" w:rsidP="008662B7">
            <w:pPr>
              <w:jc w:val="right"/>
              <w:cnfStyle w:val="000000000000" w:firstRow="0" w:lastRow="0" w:firstColumn="0" w:lastColumn="0" w:oddVBand="0" w:evenVBand="0" w:oddHBand="0" w:evenHBand="0" w:firstRowFirstColumn="0" w:firstRowLastColumn="0" w:lastRowFirstColumn="0" w:lastRowLastColumn="0"/>
            </w:pPr>
            <w:r w:rsidRPr="00927ADE">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24.3</w:t>
            </w:r>
            <w:r w:rsidRPr="00927ADE">
              <w:rPr>
                <w:rFonts w:ascii="Arial" w:hAnsi="Arial" w:cs="Arial"/>
                <w:color w:val="215868" w:themeColor="accent5" w:themeShade="80"/>
                <w:sz w:val="18"/>
                <w:szCs w:val="18"/>
              </w:rPr>
              <w:t>%</w:t>
            </w:r>
          </w:p>
        </w:tc>
      </w:tr>
      <w:tr w:rsidR="008662B7" w:rsidRPr="003C65CF" w14:paraId="18E69721" w14:textId="77777777" w:rsidTr="0087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34D5073E" w14:textId="7CEB681C" w:rsidR="008662B7" w:rsidRPr="003C65CF" w:rsidRDefault="008662B7" w:rsidP="00A11196">
            <w:pPr>
              <w:pStyle w:val="NoSpacing"/>
              <w:jc w:val="right"/>
              <w:rPr>
                <w:rFonts w:ascii="Arial" w:hAnsi="Arial" w:cs="Arial"/>
                <w:b w:val="0"/>
                <w:bCs w:val="0"/>
                <w:color w:val="215868" w:themeColor="accent5" w:themeShade="80"/>
                <w:sz w:val="18"/>
                <w:szCs w:val="18"/>
              </w:rPr>
            </w:pPr>
            <w:r>
              <w:rPr>
                <w:rFonts w:ascii="Arial" w:hAnsi="Arial" w:cs="Arial"/>
                <w:b w:val="0"/>
                <w:bCs w:val="0"/>
                <w:color w:val="215868" w:themeColor="accent5" w:themeShade="80"/>
                <w:sz w:val="18"/>
                <w:szCs w:val="18"/>
              </w:rPr>
              <w:t xml:space="preserve">Fresh meat </w:t>
            </w:r>
            <w:r w:rsidR="00A11196">
              <w:rPr>
                <w:rFonts w:ascii="Arial" w:hAnsi="Arial" w:cs="Arial"/>
                <w:b w:val="0"/>
                <w:bCs w:val="0"/>
                <w:color w:val="215868" w:themeColor="accent5" w:themeShade="80"/>
                <w:sz w:val="18"/>
                <w:szCs w:val="18"/>
              </w:rPr>
              <w:t>September</w:t>
            </w:r>
            <w:r>
              <w:rPr>
                <w:rFonts w:ascii="Arial" w:hAnsi="Arial" w:cs="Arial"/>
                <w:b w:val="0"/>
                <w:bCs w:val="0"/>
                <w:color w:val="215868" w:themeColor="accent5" w:themeShade="80"/>
                <w:sz w:val="18"/>
                <w:szCs w:val="18"/>
              </w:rPr>
              <w:t xml:space="preserve"> 2022</w:t>
            </w:r>
          </w:p>
        </w:tc>
        <w:tc>
          <w:tcPr>
            <w:tcW w:w="1568" w:type="dxa"/>
          </w:tcPr>
          <w:p w14:paraId="6B83A026" w14:textId="70A1E3EF" w:rsidR="008662B7" w:rsidRDefault="008662B7" w:rsidP="008662B7">
            <w:pPr>
              <w:jc w:val="right"/>
              <w:cnfStyle w:val="000000100000" w:firstRow="0" w:lastRow="0" w:firstColumn="0" w:lastColumn="0" w:oddVBand="0" w:evenVBand="0" w:oddHBand="1" w:evenHBand="0" w:firstRowFirstColumn="0" w:firstRowLastColumn="0" w:lastRowFirstColumn="0" w:lastRowLastColumn="0"/>
            </w:pPr>
            <w:r w:rsidRPr="003C65CF">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4.33</w:t>
            </w:r>
          </w:p>
        </w:tc>
        <w:tc>
          <w:tcPr>
            <w:tcW w:w="1916" w:type="dxa"/>
          </w:tcPr>
          <w:p w14:paraId="33A3CEB6" w14:textId="1E65EC36" w:rsidR="008662B7" w:rsidRDefault="00A11196" w:rsidP="008662B7">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4.7</w:t>
            </w:r>
            <w:r w:rsidR="008662B7">
              <w:rPr>
                <w:rFonts w:ascii="Arial" w:hAnsi="Arial" w:cs="Arial"/>
                <w:color w:val="215868" w:themeColor="accent5" w:themeShade="80"/>
                <w:sz w:val="18"/>
                <w:szCs w:val="18"/>
              </w:rPr>
              <w:t>%</w:t>
            </w:r>
          </w:p>
        </w:tc>
        <w:tc>
          <w:tcPr>
            <w:tcW w:w="1916" w:type="dxa"/>
          </w:tcPr>
          <w:p w14:paraId="2E3DEE2A" w14:textId="71859E2B" w:rsidR="008662B7" w:rsidRDefault="008662B7" w:rsidP="008662B7">
            <w:pPr>
              <w:jc w:val="right"/>
              <w:cnfStyle w:val="000000100000" w:firstRow="0" w:lastRow="0" w:firstColumn="0" w:lastColumn="0" w:oddVBand="0" w:evenVBand="0" w:oddHBand="1" w:evenHBand="0" w:firstRowFirstColumn="0" w:firstRowLastColumn="0" w:lastRowFirstColumn="0" w:lastRowLastColumn="0"/>
            </w:pPr>
            <w:r w:rsidRPr="00927ADE">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26.1</w:t>
            </w:r>
            <w:r w:rsidRPr="00927ADE">
              <w:rPr>
                <w:rFonts w:ascii="Arial" w:hAnsi="Arial" w:cs="Arial"/>
                <w:color w:val="215868" w:themeColor="accent5" w:themeShade="80"/>
                <w:sz w:val="18"/>
                <w:szCs w:val="18"/>
              </w:rPr>
              <w:t>%</w:t>
            </w:r>
          </w:p>
        </w:tc>
      </w:tr>
      <w:tr w:rsidR="008662B7" w:rsidRPr="003C65CF" w14:paraId="0B920D1D" w14:textId="77777777" w:rsidTr="00875259">
        <w:trPr>
          <w:trHeight w:val="373"/>
        </w:trPr>
        <w:tc>
          <w:tcPr>
            <w:cnfStyle w:val="001000000000" w:firstRow="0" w:lastRow="0" w:firstColumn="1" w:lastColumn="0" w:oddVBand="0" w:evenVBand="0" w:oddHBand="0" w:evenHBand="0" w:firstRowFirstColumn="0" w:firstRowLastColumn="0" w:lastRowFirstColumn="0" w:lastRowLastColumn="0"/>
            <w:tcW w:w="4500" w:type="dxa"/>
          </w:tcPr>
          <w:p w14:paraId="6140869B" w14:textId="704FFD22" w:rsidR="008662B7" w:rsidRPr="003C65CF" w:rsidRDefault="008662B7" w:rsidP="008662B7">
            <w:pPr>
              <w:pStyle w:val="NoSpacing"/>
              <w:jc w:val="right"/>
              <w:rPr>
                <w:rFonts w:ascii="Arial" w:hAnsi="Arial" w:cs="Arial"/>
                <w:b w:val="0"/>
                <w:bCs w:val="0"/>
                <w:color w:val="215868" w:themeColor="accent5" w:themeShade="80"/>
                <w:sz w:val="18"/>
                <w:szCs w:val="18"/>
              </w:rPr>
            </w:pPr>
            <w:r>
              <w:rPr>
                <w:rFonts w:ascii="Arial" w:hAnsi="Arial" w:cs="Arial"/>
                <w:b w:val="0"/>
                <w:bCs w:val="0"/>
                <w:color w:val="215868" w:themeColor="accent5" w:themeShade="80"/>
                <w:sz w:val="18"/>
                <w:szCs w:val="18"/>
              </w:rPr>
              <w:t xml:space="preserve"> Fresh meat latest 52 weeks </w:t>
            </w:r>
          </w:p>
        </w:tc>
        <w:tc>
          <w:tcPr>
            <w:tcW w:w="1568" w:type="dxa"/>
          </w:tcPr>
          <w:p w14:paraId="0378DC4D" w14:textId="3261ED90" w:rsidR="008662B7" w:rsidRDefault="008662B7" w:rsidP="008662B7">
            <w:pPr>
              <w:jc w:val="right"/>
              <w:cnfStyle w:val="000000000000" w:firstRow="0" w:lastRow="0" w:firstColumn="0" w:lastColumn="0" w:oddVBand="0" w:evenVBand="0" w:oddHBand="0" w:evenHBand="0" w:firstRowFirstColumn="0" w:firstRowLastColumn="0" w:lastRowFirstColumn="0" w:lastRowLastColumn="0"/>
            </w:pPr>
            <w:r w:rsidRPr="003C65CF">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4.13</w:t>
            </w:r>
          </w:p>
        </w:tc>
        <w:tc>
          <w:tcPr>
            <w:tcW w:w="1916" w:type="dxa"/>
          </w:tcPr>
          <w:p w14:paraId="4EA83057" w14:textId="709D1B47" w:rsidR="008662B7" w:rsidRDefault="00A11196" w:rsidP="008662B7">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9.7</w:t>
            </w:r>
            <w:r w:rsidR="008662B7">
              <w:rPr>
                <w:rFonts w:ascii="Arial" w:hAnsi="Arial" w:cs="Arial"/>
                <w:color w:val="215868" w:themeColor="accent5" w:themeShade="80"/>
                <w:sz w:val="18"/>
                <w:szCs w:val="18"/>
              </w:rPr>
              <w:t>%</w:t>
            </w:r>
          </w:p>
        </w:tc>
        <w:tc>
          <w:tcPr>
            <w:tcW w:w="1916" w:type="dxa"/>
          </w:tcPr>
          <w:p w14:paraId="2553668E" w14:textId="0F9983D6" w:rsidR="008662B7" w:rsidRDefault="008662B7" w:rsidP="008662B7">
            <w:pPr>
              <w:jc w:val="right"/>
              <w:cnfStyle w:val="000000000000" w:firstRow="0" w:lastRow="0" w:firstColumn="0" w:lastColumn="0" w:oddVBand="0" w:evenVBand="0" w:oddHBand="0" w:evenHBand="0" w:firstRowFirstColumn="0" w:firstRowLastColumn="0" w:lastRowFirstColumn="0" w:lastRowLastColumn="0"/>
            </w:pPr>
            <w:r w:rsidRPr="00927ADE">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24.1</w:t>
            </w:r>
            <w:r w:rsidRPr="00927ADE">
              <w:rPr>
                <w:rFonts w:ascii="Arial" w:hAnsi="Arial" w:cs="Arial"/>
                <w:color w:val="215868" w:themeColor="accent5" w:themeShade="80"/>
                <w:sz w:val="18"/>
                <w:szCs w:val="18"/>
              </w:rPr>
              <w:t>%</w:t>
            </w:r>
          </w:p>
        </w:tc>
      </w:tr>
      <w:tr w:rsidR="008662B7" w:rsidRPr="003C65CF" w14:paraId="3EEE9FA8" w14:textId="77777777" w:rsidTr="0087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7D0DB57F" w14:textId="06ACBA43" w:rsidR="008662B7" w:rsidRPr="003C65CF" w:rsidRDefault="00A11196" w:rsidP="008662B7">
            <w:pPr>
              <w:pStyle w:val="NoSpacing"/>
              <w:jc w:val="right"/>
              <w:rPr>
                <w:rFonts w:ascii="Arial" w:hAnsi="Arial" w:cs="Arial"/>
                <w:b w:val="0"/>
                <w:bCs w:val="0"/>
                <w:color w:val="215868" w:themeColor="accent5" w:themeShade="80"/>
                <w:sz w:val="18"/>
                <w:szCs w:val="18"/>
              </w:rPr>
            </w:pPr>
            <w:r>
              <w:rPr>
                <w:rFonts w:ascii="Arial" w:hAnsi="Arial" w:cs="Arial"/>
                <w:b w:val="0"/>
                <w:bCs w:val="0"/>
                <w:color w:val="215868" w:themeColor="accent5" w:themeShade="80"/>
                <w:sz w:val="18"/>
                <w:szCs w:val="18"/>
              </w:rPr>
              <w:t>Processed meat September</w:t>
            </w:r>
            <w:r w:rsidR="008662B7">
              <w:rPr>
                <w:rFonts w:ascii="Arial" w:hAnsi="Arial" w:cs="Arial"/>
                <w:b w:val="0"/>
                <w:bCs w:val="0"/>
                <w:color w:val="215868" w:themeColor="accent5" w:themeShade="80"/>
                <w:sz w:val="18"/>
                <w:szCs w:val="18"/>
              </w:rPr>
              <w:t xml:space="preserve"> 2022</w:t>
            </w:r>
          </w:p>
        </w:tc>
        <w:tc>
          <w:tcPr>
            <w:tcW w:w="1568" w:type="dxa"/>
          </w:tcPr>
          <w:p w14:paraId="11F8D089" w14:textId="2953ED23" w:rsidR="008662B7" w:rsidRDefault="008662B7" w:rsidP="008662B7">
            <w:pPr>
              <w:jc w:val="right"/>
              <w:cnfStyle w:val="000000100000" w:firstRow="0" w:lastRow="0" w:firstColumn="0" w:lastColumn="0" w:oddVBand="0" w:evenVBand="0" w:oddHBand="1" w:evenHBand="0" w:firstRowFirstColumn="0" w:firstRowLastColumn="0" w:lastRowFirstColumn="0" w:lastRowLastColumn="0"/>
            </w:pPr>
            <w:r w:rsidRPr="003C65CF">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5.27</w:t>
            </w:r>
          </w:p>
        </w:tc>
        <w:tc>
          <w:tcPr>
            <w:tcW w:w="1916" w:type="dxa"/>
          </w:tcPr>
          <w:p w14:paraId="1164D3F1" w14:textId="2486745D" w:rsidR="008662B7" w:rsidRDefault="00A11196" w:rsidP="008662B7">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11.1</w:t>
            </w:r>
            <w:r w:rsidR="008662B7">
              <w:rPr>
                <w:rFonts w:ascii="Arial" w:hAnsi="Arial" w:cs="Arial"/>
                <w:color w:val="215868" w:themeColor="accent5" w:themeShade="80"/>
                <w:sz w:val="18"/>
                <w:szCs w:val="18"/>
              </w:rPr>
              <w:t>%</w:t>
            </w:r>
          </w:p>
        </w:tc>
        <w:tc>
          <w:tcPr>
            <w:tcW w:w="1916" w:type="dxa"/>
          </w:tcPr>
          <w:p w14:paraId="6423728E" w14:textId="3E60D0C4" w:rsidR="008662B7" w:rsidRDefault="008662B7" w:rsidP="008662B7">
            <w:pPr>
              <w:jc w:val="right"/>
              <w:cnfStyle w:val="000000100000" w:firstRow="0" w:lastRow="0" w:firstColumn="0" w:lastColumn="0" w:oddVBand="0" w:evenVBand="0" w:oddHBand="1" w:evenHBand="0" w:firstRowFirstColumn="0" w:firstRowLastColumn="0" w:lastRowFirstColumn="0" w:lastRowLastColumn="0"/>
            </w:pPr>
            <w:r w:rsidRPr="00927ADE">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26.7</w:t>
            </w:r>
            <w:r w:rsidRPr="00927ADE">
              <w:rPr>
                <w:rFonts w:ascii="Arial" w:hAnsi="Arial" w:cs="Arial"/>
                <w:color w:val="215868" w:themeColor="accent5" w:themeShade="80"/>
                <w:sz w:val="18"/>
                <w:szCs w:val="18"/>
              </w:rPr>
              <w:t>%</w:t>
            </w:r>
          </w:p>
        </w:tc>
      </w:tr>
      <w:tr w:rsidR="008662B7" w:rsidRPr="003C65CF" w14:paraId="1B87A5BB" w14:textId="77777777" w:rsidTr="00875259">
        <w:tc>
          <w:tcPr>
            <w:cnfStyle w:val="001000000000" w:firstRow="0" w:lastRow="0" w:firstColumn="1" w:lastColumn="0" w:oddVBand="0" w:evenVBand="0" w:oddHBand="0" w:evenHBand="0" w:firstRowFirstColumn="0" w:firstRowLastColumn="0" w:lastRowFirstColumn="0" w:lastRowLastColumn="0"/>
            <w:tcW w:w="4500" w:type="dxa"/>
          </w:tcPr>
          <w:p w14:paraId="636FC35A" w14:textId="34827379" w:rsidR="008662B7" w:rsidRPr="003C65CF" w:rsidRDefault="008662B7" w:rsidP="008662B7">
            <w:pPr>
              <w:pStyle w:val="NoSpacing"/>
              <w:jc w:val="right"/>
              <w:rPr>
                <w:rFonts w:ascii="Arial" w:hAnsi="Arial" w:cs="Arial"/>
                <w:b w:val="0"/>
                <w:bCs w:val="0"/>
                <w:color w:val="215868" w:themeColor="accent5" w:themeShade="80"/>
                <w:sz w:val="18"/>
                <w:szCs w:val="18"/>
              </w:rPr>
            </w:pPr>
            <w:r>
              <w:rPr>
                <w:rFonts w:ascii="Arial" w:hAnsi="Arial" w:cs="Arial"/>
                <w:b w:val="0"/>
                <w:bCs w:val="0"/>
                <w:color w:val="215868" w:themeColor="accent5" w:themeShade="80"/>
                <w:sz w:val="18"/>
                <w:szCs w:val="18"/>
              </w:rPr>
              <w:t xml:space="preserve"> Processed meat latest 52 weeks </w:t>
            </w:r>
          </w:p>
        </w:tc>
        <w:tc>
          <w:tcPr>
            <w:tcW w:w="1568" w:type="dxa"/>
          </w:tcPr>
          <w:p w14:paraId="51A62CEF" w14:textId="240E8562" w:rsidR="008662B7" w:rsidRDefault="008662B7" w:rsidP="008662B7">
            <w:pPr>
              <w:jc w:val="right"/>
              <w:cnfStyle w:val="000000000000" w:firstRow="0" w:lastRow="0" w:firstColumn="0" w:lastColumn="0" w:oddVBand="0" w:evenVBand="0" w:oddHBand="0" w:evenHBand="0" w:firstRowFirstColumn="0" w:firstRowLastColumn="0" w:lastRowFirstColumn="0" w:lastRowLastColumn="0"/>
            </w:pPr>
            <w:r w:rsidRPr="003C65CF">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4.89</w:t>
            </w:r>
          </w:p>
        </w:tc>
        <w:tc>
          <w:tcPr>
            <w:tcW w:w="1916" w:type="dxa"/>
          </w:tcPr>
          <w:p w14:paraId="6F16B379" w14:textId="126B7BFC" w:rsidR="008662B7" w:rsidRDefault="00A11196" w:rsidP="008662B7">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13.5</w:t>
            </w:r>
            <w:r w:rsidR="008662B7">
              <w:rPr>
                <w:rFonts w:ascii="Arial" w:hAnsi="Arial" w:cs="Arial"/>
                <w:color w:val="215868" w:themeColor="accent5" w:themeShade="80"/>
                <w:sz w:val="18"/>
                <w:szCs w:val="18"/>
              </w:rPr>
              <w:t>%</w:t>
            </w:r>
          </w:p>
        </w:tc>
        <w:tc>
          <w:tcPr>
            <w:tcW w:w="1916" w:type="dxa"/>
          </w:tcPr>
          <w:p w14:paraId="54F02350" w14:textId="0F622E25" w:rsidR="008662B7" w:rsidRDefault="008662B7" w:rsidP="008662B7">
            <w:pPr>
              <w:jc w:val="right"/>
              <w:cnfStyle w:val="000000000000" w:firstRow="0" w:lastRow="0" w:firstColumn="0" w:lastColumn="0" w:oddVBand="0" w:evenVBand="0" w:oddHBand="0" w:evenHBand="0" w:firstRowFirstColumn="0" w:firstRowLastColumn="0" w:lastRowFirstColumn="0" w:lastRowLastColumn="0"/>
            </w:pPr>
            <w:r w:rsidRPr="00927ADE">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24.8</w:t>
            </w:r>
            <w:r w:rsidRPr="00927ADE">
              <w:rPr>
                <w:rFonts w:ascii="Arial" w:hAnsi="Arial" w:cs="Arial"/>
                <w:color w:val="215868" w:themeColor="accent5" w:themeShade="80"/>
                <w:sz w:val="18"/>
                <w:szCs w:val="18"/>
              </w:rPr>
              <w:t>%</w:t>
            </w:r>
          </w:p>
        </w:tc>
      </w:tr>
    </w:tbl>
    <w:p w14:paraId="3DEDBF77" w14:textId="77777777" w:rsidR="003C65CF" w:rsidRPr="008A1AD9" w:rsidRDefault="003C65CF" w:rsidP="003C65CF">
      <w:pPr>
        <w:pStyle w:val="NoSpacing"/>
        <w:rPr>
          <w:rFonts w:ascii="Arial" w:hAnsi="Arial" w:cs="Arial"/>
          <w:sz w:val="6"/>
          <w:szCs w:val="6"/>
        </w:rPr>
      </w:pPr>
    </w:p>
    <w:p w14:paraId="64D70B79" w14:textId="77777777" w:rsidR="003C65CF" w:rsidRDefault="003C65CF" w:rsidP="003C65CF">
      <w:pPr>
        <w:pStyle w:val="NoSpacing"/>
        <w:rPr>
          <w:rFonts w:ascii="Arial" w:hAnsi="Arial" w:cs="Arial"/>
          <w:sz w:val="16"/>
          <w:szCs w:val="16"/>
        </w:rPr>
      </w:pPr>
      <w:r>
        <w:rPr>
          <w:rFonts w:ascii="Arial" w:hAnsi="Arial" w:cs="Arial"/>
          <w:sz w:val="16"/>
          <w:szCs w:val="16"/>
        </w:rPr>
        <w:t>Source: IRI, Integrated Fresh, Total US, MULO</w:t>
      </w:r>
    </w:p>
    <w:p w14:paraId="568C3E25" w14:textId="77777777" w:rsidR="00E36985" w:rsidRDefault="00E36985" w:rsidP="003C65CF">
      <w:pPr>
        <w:pStyle w:val="NoSpacing"/>
        <w:rPr>
          <w:rFonts w:ascii="Arial" w:hAnsi="Arial" w:cs="Arial"/>
          <w:sz w:val="20"/>
          <w:szCs w:val="20"/>
        </w:rPr>
      </w:pPr>
    </w:p>
    <w:p w14:paraId="6F19141B" w14:textId="11162E22" w:rsidR="00D84D95" w:rsidRPr="00BB6906" w:rsidRDefault="00C632A8" w:rsidP="003C65CF">
      <w:pPr>
        <w:pStyle w:val="NoSpacing"/>
        <w:rPr>
          <w:rFonts w:ascii="Arial" w:hAnsi="Arial" w:cs="Arial"/>
          <w:sz w:val="20"/>
          <w:szCs w:val="20"/>
        </w:rPr>
      </w:pPr>
      <w:r>
        <w:rPr>
          <w:rFonts w:ascii="Arial" w:hAnsi="Arial" w:cs="Arial"/>
          <w:sz w:val="20"/>
          <w:szCs w:val="20"/>
        </w:rPr>
        <w:t xml:space="preserve">The moderation in price increases is driven by beef, pork, lamb, exotic (including bison) and bacon. </w:t>
      </w:r>
      <w:r w:rsidR="00276837">
        <w:rPr>
          <w:rFonts w:ascii="Arial" w:hAnsi="Arial" w:cs="Arial"/>
          <w:sz w:val="20"/>
          <w:szCs w:val="20"/>
        </w:rPr>
        <w:t xml:space="preserve">On </w:t>
      </w:r>
      <w:r>
        <w:rPr>
          <w:rFonts w:ascii="Arial" w:hAnsi="Arial" w:cs="Arial"/>
          <w:sz w:val="20"/>
          <w:szCs w:val="20"/>
        </w:rPr>
        <w:t xml:space="preserve">the other hand, both chicken and turkey continued to experience double-digit inflation. Packaged lunchmeat had the highest increases of all, at +24.0% over September 2021 levels. </w:t>
      </w:r>
      <w:r w:rsidR="007E7F25">
        <w:rPr>
          <w:rFonts w:ascii="Arial" w:hAnsi="Arial" w:cs="Arial"/>
          <w:sz w:val="20"/>
          <w:szCs w:val="20"/>
        </w:rPr>
        <w:t xml:space="preserve"> </w:t>
      </w:r>
      <w:r w:rsidR="008B396D">
        <w:rPr>
          <w:rFonts w:ascii="Arial" w:hAnsi="Arial" w:cs="Arial"/>
          <w:sz w:val="20"/>
          <w:szCs w:val="20"/>
        </w:rPr>
        <w:t xml:space="preserve">  </w:t>
      </w:r>
      <w:r w:rsidR="005E795C">
        <w:rPr>
          <w:rFonts w:ascii="Arial" w:hAnsi="Arial" w:cs="Arial"/>
          <w:sz w:val="20"/>
          <w:szCs w:val="20"/>
        </w:rPr>
        <w:t xml:space="preserve"> </w:t>
      </w:r>
    </w:p>
    <w:p w14:paraId="302544EC" w14:textId="77777777" w:rsidR="00BB6906" w:rsidRDefault="00BB6906" w:rsidP="00BB6906">
      <w:pPr>
        <w:pStyle w:val="NoSpacing"/>
        <w:rPr>
          <w:rFonts w:ascii="Arial" w:hAnsi="Arial" w:cs="Arial"/>
          <w:sz w:val="20"/>
          <w:szCs w:val="20"/>
        </w:rPr>
      </w:pPr>
    </w:p>
    <w:tbl>
      <w:tblPr>
        <w:tblStyle w:val="LightShading-Accent5"/>
        <w:tblW w:w="9090" w:type="dxa"/>
        <w:tblInd w:w="108" w:type="dxa"/>
        <w:tblBorders>
          <w:top w:val="none" w:sz="0" w:space="0" w:color="auto"/>
          <w:bottom w:val="none" w:sz="0" w:space="0" w:color="auto"/>
        </w:tblBorders>
        <w:tblLayout w:type="fixed"/>
        <w:tblLook w:val="04A0" w:firstRow="1" w:lastRow="0" w:firstColumn="1" w:lastColumn="0" w:noHBand="0" w:noVBand="1"/>
      </w:tblPr>
      <w:tblGrid>
        <w:gridCol w:w="2880"/>
        <w:gridCol w:w="1350"/>
        <w:gridCol w:w="1620"/>
        <w:gridCol w:w="1620"/>
        <w:gridCol w:w="1620"/>
      </w:tblGrid>
      <w:tr w:rsidR="006D488B" w:rsidRPr="003C245B" w14:paraId="46707496" w14:textId="77777777" w:rsidTr="006E23A1">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20D1E7FB" w14:textId="71001433" w:rsidR="006D488B" w:rsidRPr="00BB6906" w:rsidRDefault="00A11196" w:rsidP="006E23A1">
            <w:pPr>
              <w:pStyle w:val="NoSpacing"/>
              <w:rPr>
                <w:rFonts w:ascii="Arial" w:hAnsi="Arial" w:cs="Arial"/>
                <w:color w:val="FFFFFF" w:themeColor="background1"/>
                <w:sz w:val="18"/>
                <w:szCs w:val="18"/>
              </w:rPr>
            </w:pPr>
            <w:bookmarkStart w:id="2" w:name="_Hlk102723196"/>
            <w:r>
              <w:rPr>
                <w:rFonts w:ascii="Arial" w:hAnsi="Arial" w:cs="Arial"/>
                <w:color w:val="FFFFFF" w:themeColor="background1"/>
                <w:sz w:val="18"/>
                <w:szCs w:val="18"/>
              </w:rPr>
              <w:t>September</w:t>
            </w:r>
            <w:r w:rsidR="00B56460">
              <w:rPr>
                <w:rFonts w:ascii="Arial" w:hAnsi="Arial" w:cs="Arial"/>
                <w:color w:val="FFFFFF" w:themeColor="background1"/>
                <w:sz w:val="18"/>
                <w:szCs w:val="18"/>
              </w:rPr>
              <w:t xml:space="preserve"> </w:t>
            </w:r>
          </w:p>
        </w:tc>
        <w:tc>
          <w:tcPr>
            <w:tcW w:w="1350"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2FBD3E48" w14:textId="77777777" w:rsidR="006D488B" w:rsidRPr="00BB6906" w:rsidRDefault="006D488B" w:rsidP="006E23A1">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B6906">
              <w:rPr>
                <w:rFonts w:ascii="Arial" w:hAnsi="Arial" w:cs="Arial"/>
                <w:color w:val="FFFFFF" w:themeColor="background1"/>
                <w:sz w:val="18"/>
                <w:szCs w:val="18"/>
              </w:rPr>
              <w:t>Price</w:t>
            </w:r>
            <w:r>
              <w:rPr>
                <w:rFonts w:ascii="Arial" w:hAnsi="Arial" w:cs="Arial"/>
                <w:color w:val="FFFFFF" w:themeColor="background1"/>
                <w:sz w:val="18"/>
                <w:szCs w:val="18"/>
              </w:rPr>
              <w:t>/</w:t>
            </w:r>
            <w:proofErr w:type="spellStart"/>
            <w:r>
              <w:rPr>
                <w:rFonts w:ascii="Arial" w:hAnsi="Arial" w:cs="Arial"/>
                <w:color w:val="FFFFFF" w:themeColor="background1"/>
                <w:sz w:val="18"/>
                <w:szCs w:val="18"/>
              </w:rPr>
              <w:t>lbs</w:t>
            </w:r>
            <w:proofErr w:type="spellEnd"/>
          </w:p>
        </w:tc>
        <w:tc>
          <w:tcPr>
            <w:tcW w:w="1620"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0A0B2F8B" w14:textId="77777777" w:rsidR="006D488B" w:rsidRPr="00BB6906" w:rsidRDefault="006D488B" w:rsidP="006E23A1">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B6906">
              <w:rPr>
                <w:rFonts w:ascii="Arial" w:hAnsi="Arial" w:cs="Arial"/>
                <w:color w:val="FFFFFF" w:themeColor="background1"/>
                <w:sz w:val="18"/>
                <w:szCs w:val="18"/>
              </w:rPr>
              <w:t>Change vs. YA</w:t>
            </w:r>
          </w:p>
        </w:tc>
        <w:tc>
          <w:tcPr>
            <w:tcW w:w="1620"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6A2BA3BC" w14:textId="77777777" w:rsidR="006D488B" w:rsidRPr="00BB6906" w:rsidRDefault="006D488B" w:rsidP="006E23A1">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Price/unit</w:t>
            </w:r>
          </w:p>
        </w:tc>
        <w:tc>
          <w:tcPr>
            <w:tcW w:w="1620"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27356500" w14:textId="77777777" w:rsidR="006D488B" w:rsidRPr="00BB6906" w:rsidRDefault="006D488B" w:rsidP="006E23A1">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Change vs. YA</w:t>
            </w:r>
          </w:p>
        </w:tc>
      </w:tr>
      <w:tr w:rsidR="00C267F7" w:rsidRPr="00C267F7" w14:paraId="283F595F" w14:textId="77777777" w:rsidTr="00736B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6335722F" w14:textId="77777777" w:rsidR="00F570BF" w:rsidRPr="00C267F7" w:rsidRDefault="00F570BF" w:rsidP="00F570BF">
            <w:pPr>
              <w:pStyle w:val="NoSpacing"/>
              <w:jc w:val="right"/>
              <w:rPr>
                <w:rFonts w:ascii="Arial" w:hAnsi="Arial" w:cs="Arial"/>
                <w:b w:val="0"/>
                <w:color w:val="215868" w:themeColor="accent5" w:themeShade="80"/>
                <w:sz w:val="18"/>
                <w:szCs w:val="18"/>
              </w:rPr>
            </w:pPr>
            <w:r w:rsidRPr="00C267F7">
              <w:rPr>
                <w:rFonts w:ascii="Arial" w:hAnsi="Arial" w:cs="Arial"/>
                <w:b w:val="0"/>
                <w:color w:val="215868" w:themeColor="accent5" w:themeShade="80"/>
                <w:sz w:val="18"/>
                <w:szCs w:val="18"/>
              </w:rPr>
              <w:t xml:space="preserve">  Fresh beef</w:t>
            </w:r>
          </w:p>
        </w:tc>
        <w:tc>
          <w:tcPr>
            <w:tcW w:w="1350" w:type="dxa"/>
            <w:vAlign w:val="bottom"/>
          </w:tcPr>
          <w:p w14:paraId="146A7129" w14:textId="26BDF249" w:rsidR="00F570BF" w:rsidRPr="00C267F7" w:rsidRDefault="00F570BF"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5.94</w:t>
            </w:r>
          </w:p>
        </w:tc>
        <w:tc>
          <w:tcPr>
            <w:tcW w:w="1620" w:type="dxa"/>
            <w:vAlign w:val="bottom"/>
          </w:tcPr>
          <w:p w14:paraId="5283DD94" w14:textId="595D8916" w:rsidR="00F570BF" w:rsidRPr="00C267F7" w:rsidRDefault="00C632A8" w:rsidP="00F570B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-0.9</w:t>
            </w:r>
            <w:r w:rsidR="00F570BF" w:rsidRPr="00C267F7">
              <w:rPr>
                <w:rFonts w:ascii="Arial" w:hAnsi="Arial" w:cs="Arial"/>
                <w:color w:val="215868" w:themeColor="accent5" w:themeShade="80"/>
                <w:sz w:val="18"/>
                <w:szCs w:val="18"/>
              </w:rPr>
              <w:t>%</w:t>
            </w:r>
          </w:p>
        </w:tc>
        <w:tc>
          <w:tcPr>
            <w:tcW w:w="1620" w:type="dxa"/>
            <w:vAlign w:val="bottom"/>
          </w:tcPr>
          <w:p w14:paraId="27D84CA3" w14:textId="125C3D98" w:rsidR="00F570BF" w:rsidRPr="00C267F7" w:rsidRDefault="00F570BF" w:rsidP="00F570B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10.01</w:t>
            </w:r>
          </w:p>
        </w:tc>
        <w:tc>
          <w:tcPr>
            <w:tcW w:w="1620" w:type="dxa"/>
            <w:vAlign w:val="bottom"/>
          </w:tcPr>
          <w:p w14:paraId="3000C2D6" w14:textId="6F6FBF12" w:rsidR="00F570BF" w:rsidRPr="00C267F7" w:rsidRDefault="00C632A8" w:rsidP="00F570B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-0.4</w:t>
            </w:r>
            <w:r w:rsidR="00F570BF" w:rsidRPr="00C267F7">
              <w:rPr>
                <w:rFonts w:ascii="Arial" w:hAnsi="Arial" w:cs="Arial"/>
                <w:color w:val="215868" w:themeColor="accent5" w:themeShade="80"/>
                <w:sz w:val="18"/>
                <w:szCs w:val="18"/>
              </w:rPr>
              <w:t>%</w:t>
            </w:r>
          </w:p>
        </w:tc>
      </w:tr>
      <w:tr w:rsidR="001978D7" w:rsidRPr="00C267F7" w14:paraId="17869E56" w14:textId="77777777" w:rsidTr="00736BE7">
        <w:trPr>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1E0002CC" w14:textId="489D05EA" w:rsidR="001978D7" w:rsidRPr="00C267F7" w:rsidRDefault="001978D7" w:rsidP="001978D7">
            <w:pPr>
              <w:pStyle w:val="NoSpacing"/>
              <w:jc w:val="right"/>
              <w:rPr>
                <w:rFonts w:ascii="Arial" w:hAnsi="Arial" w:cs="Arial"/>
                <w:b w:val="0"/>
                <w:bCs w:val="0"/>
                <w:color w:val="215868" w:themeColor="accent5" w:themeShade="80"/>
                <w:sz w:val="18"/>
                <w:szCs w:val="18"/>
              </w:rPr>
            </w:pPr>
            <w:r w:rsidRPr="00C267F7">
              <w:rPr>
                <w:rFonts w:ascii="Arial" w:hAnsi="Arial" w:cs="Arial"/>
                <w:b w:val="0"/>
                <w:bCs w:val="0"/>
                <w:color w:val="215868" w:themeColor="accent5" w:themeShade="80"/>
                <w:sz w:val="18"/>
                <w:szCs w:val="18"/>
              </w:rPr>
              <w:t>Ground beef</w:t>
            </w:r>
          </w:p>
        </w:tc>
        <w:tc>
          <w:tcPr>
            <w:tcW w:w="1350" w:type="dxa"/>
            <w:vAlign w:val="bottom"/>
          </w:tcPr>
          <w:p w14:paraId="01781D09" w14:textId="40260A13"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4.64</w:t>
            </w:r>
          </w:p>
        </w:tc>
        <w:tc>
          <w:tcPr>
            <w:tcW w:w="1620" w:type="dxa"/>
            <w:vAlign w:val="bottom"/>
          </w:tcPr>
          <w:p w14:paraId="77FE9C56" w14:textId="3DB80CFC"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2.1</w:t>
            </w:r>
            <w:r w:rsidRPr="00C267F7">
              <w:rPr>
                <w:rFonts w:ascii="Arial" w:hAnsi="Arial" w:cs="Arial"/>
                <w:color w:val="215868" w:themeColor="accent5" w:themeShade="80"/>
                <w:sz w:val="18"/>
                <w:szCs w:val="18"/>
              </w:rPr>
              <w:t>%</w:t>
            </w:r>
          </w:p>
        </w:tc>
        <w:tc>
          <w:tcPr>
            <w:tcW w:w="1620" w:type="dxa"/>
            <w:vAlign w:val="bottom"/>
          </w:tcPr>
          <w:p w14:paraId="7DC086AD" w14:textId="7B8EB602"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8.38</w:t>
            </w:r>
          </w:p>
        </w:tc>
        <w:tc>
          <w:tcPr>
            <w:tcW w:w="1620" w:type="dxa"/>
            <w:vAlign w:val="bottom"/>
          </w:tcPr>
          <w:p w14:paraId="5DFB94C1" w14:textId="15C2A038"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3.5</w:t>
            </w:r>
            <w:r w:rsidRPr="00C267F7">
              <w:rPr>
                <w:rFonts w:ascii="Arial" w:hAnsi="Arial" w:cs="Arial"/>
                <w:color w:val="215868" w:themeColor="accent5" w:themeShade="80"/>
                <w:sz w:val="18"/>
                <w:szCs w:val="18"/>
              </w:rPr>
              <w:t>%</w:t>
            </w:r>
          </w:p>
        </w:tc>
      </w:tr>
      <w:tr w:rsidR="001978D7" w:rsidRPr="00C267F7" w14:paraId="40BFAA9F" w14:textId="77777777" w:rsidTr="00736B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21544BE2" w14:textId="77777777" w:rsidR="001978D7" w:rsidRPr="00C267F7" w:rsidRDefault="001978D7" w:rsidP="001978D7">
            <w:pPr>
              <w:pStyle w:val="NoSpacing"/>
              <w:jc w:val="right"/>
              <w:rPr>
                <w:rFonts w:ascii="Arial" w:hAnsi="Arial" w:cs="Arial"/>
                <w:b w:val="0"/>
                <w:color w:val="215868" w:themeColor="accent5" w:themeShade="80"/>
                <w:sz w:val="18"/>
                <w:szCs w:val="18"/>
              </w:rPr>
            </w:pPr>
            <w:r w:rsidRPr="00C267F7">
              <w:rPr>
                <w:rFonts w:ascii="Arial" w:hAnsi="Arial" w:cs="Arial"/>
                <w:b w:val="0"/>
                <w:color w:val="215868" w:themeColor="accent5" w:themeShade="80"/>
                <w:sz w:val="18"/>
                <w:szCs w:val="18"/>
              </w:rPr>
              <w:t xml:space="preserve">  Fresh chicken</w:t>
            </w:r>
          </w:p>
        </w:tc>
        <w:tc>
          <w:tcPr>
            <w:tcW w:w="1350" w:type="dxa"/>
            <w:vAlign w:val="bottom"/>
          </w:tcPr>
          <w:p w14:paraId="39EFE3AF" w14:textId="4B183600"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3.15</w:t>
            </w:r>
          </w:p>
        </w:tc>
        <w:tc>
          <w:tcPr>
            <w:tcW w:w="1620" w:type="dxa"/>
            <w:vAlign w:val="bottom"/>
          </w:tcPr>
          <w:p w14:paraId="42FE8E76" w14:textId="0C8FF6DC" w:rsidR="001978D7" w:rsidRPr="00C267F7" w:rsidRDefault="00D16719"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19.3</w:t>
            </w:r>
            <w:r w:rsidR="001978D7" w:rsidRPr="00C267F7">
              <w:rPr>
                <w:rFonts w:ascii="Arial" w:hAnsi="Arial" w:cs="Arial"/>
                <w:color w:val="215868" w:themeColor="accent5" w:themeShade="80"/>
                <w:sz w:val="18"/>
                <w:szCs w:val="18"/>
              </w:rPr>
              <w:t>%</w:t>
            </w:r>
          </w:p>
        </w:tc>
        <w:tc>
          <w:tcPr>
            <w:tcW w:w="1620" w:type="dxa"/>
            <w:vAlign w:val="bottom"/>
          </w:tcPr>
          <w:p w14:paraId="3AAC0F32" w14:textId="3DFE3635"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6.62</w:t>
            </w:r>
          </w:p>
        </w:tc>
        <w:tc>
          <w:tcPr>
            <w:tcW w:w="1620" w:type="dxa"/>
            <w:vAlign w:val="bottom"/>
          </w:tcPr>
          <w:p w14:paraId="75CFD231" w14:textId="2CF567D6" w:rsidR="001978D7" w:rsidRPr="00C267F7" w:rsidRDefault="00D16719"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19.6</w:t>
            </w:r>
            <w:r w:rsidR="001978D7" w:rsidRPr="00C267F7">
              <w:rPr>
                <w:rFonts w:ascii="Arial" w:hAnsi="Arial" w:cs="Arial"/>
                <w:color w:val="215868" w:themeColor="accent5" w:themeShade="80"/>
                <w:sz w:val="18"/>
                <w:szCs w:val="18"/>
              </w:rPr>
              <w:t>%</w:t>
            </w:r>
          </w:p>
        </w:tc>
      </w:tr>
      <w:tr w:rsidR="001978D7" w:rsidRPr="00C267F7" w14:paraId="03CE81FF" w14:textId="77777777" w:rsidTr="00736BE7">
        <w:trPr>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14016351" w14:textId="77777777" w:rsidR="001978D7" w:rsidRPr="00C267F7" w:rsidRDefault="001978D7" w:rsidP="001978D7">
            <w:pPr>
              <w:pStyle w:val="NoSpacing"/>
              <w:jc w:val="right"/>
              <w:rPr>
                <w:rFonts w:ascii="Arial" w:hAnsi="Arial" w:cs="Arial"/>
                <w:b w:val="0"/>
                <w:color w:val="215868" w:themeColor="accent5" w:themeShade="80"/>
                <w:sz w:val="18"/>
                <w:szCs w:val="18"/>
              </w:rPr>
            </w:pPr>
            <w:r w:rsidRPr="00C267F7">
              <w:rPr>
                <w:rFonts w:ascii="Arial" w:hAnsi="Arial" w:cs="Arial"/>
                <w:b w:val="0"/>
                <w:color w:val="215868" w:themeColor="accent5" w:themeShade="80"/>
                <w:sz w:val="18"/>
                <w:szCs w:val="18"/>
              </w:rPr>
              <w:t xml:space="preserve">  Fresh pork</w:t>
            </w:r>
          </w:p>
        </w:tc>
        <w:tc>
          <w:tcPr>
            <w:tcW w:w="1350" w:type="dxa"/>
            <w:vAlign w:val="bottom"/>
          </w:tcPr>
          <w:p w14:paraId="144BCDD4" w14:textId="358CC9E9"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3.18</w:t>
            </w:r>
          </w:p>
        </w:tc>
        <w:tc>
          <w:tcPr>
            <w:tcW w:w="1620" w:type="dxa"/>
            <w:vAlign w:val="bottom"/>
          </w:tcPr>
          <w:p w14:paraId="3B2408B8" w14:textId="6B85A03B" w:rsidR="001978D7" w:rsidRPr="00C267F7" w:rsidRDefault="00A11196"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0.3</w:t>
            </w:r>
            <w:r w:rsidR="001978D7" w:rsidRPr="00C267F7">
              <w:rPr>
                <w:rFonts w:ascii="Arial" w:hAnsi="Arial" w:cs="Arial"/>
                <w:color w:val="215868" w:themeColor="accent5" w:themeShade="80"/>
                <w:sz w:val="18"/>
                <w:szCs w:val="18"/>
              </w:rPr>
              <w:t>%</w:t>
            </w:r>
          </w:p>
        </w:tc>
        <w:tc>
          <w:tcPr>
            <w:tcW w:w="1620" w:type="dxa"/>
            <w:vAlign w:val="bottom"/>
          </w:tcPr>
          <w:p w14:paraId="706F585A" w14:textId="4C7CA7EE"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6.35</w:t>
            </w:r>
          </w:p>
        </w:tc>
        <w:tc>
          <w:tcPr>
            <w:tcW w:w="1620" w:type="dxa"/>
            <w:vAlign w:val="bottom"/>
          </w:tcPr>
          <w:p w14:paraId="7A9D68E8" w14:textId="1187758A"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0.7</w:t>
            </w:r>
            <w:r w:rsidRPr="00C267F7">
              <w:rPr>
                <w:rFonts w:ascii="Arial" w:hAnsi="Arial" w:cs="Arial"/>
                <w:color w:val="215868" w:themeColor="accent5" w:themeShade="80"/>
                <w:sz w:val="18"/>
                <w:szCs w:val="18"/>
              </w:rPr>
              <w:t>%</w:t>
            </w:r>
          </w:p>
        </w:tc>
      </w:tr>
      <w:tr w:rsidR="001978D7" w:rsidRPr="00C267F7" w14:paraId="229CC4A4" w14:textId="77777777" w:rsidTr="00736B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245DD4E7" w14:textId="77777777" w:rsidR="001978D7" w:rsidRPr="00C267F7" w:rsidRDefault="001978D7" w:rsidP="001978D7">
            <w:pPr>
              <w:pStyle w:val="NoSpacing"/>
              <w:jc w:val="right"/>
              <w:rPr>
                <w:rFonts w:ascii="Arial" w:hAnsi="Arial" w:cs="Arial"/>
                <w:b w:val="0"/>
                <w:color w:val="215868" w:themeColor="accent5" w:themeShade="80"/>
                <w:sz w:val="18"/>
                <w:szCs w:val="18"/>
              </w:rPr>
            </w:pPr>
            <w:r w:rsidRPr="00C267F7">
              <w:rPr>
                <w:rFonts w:ascii="Arial" w:hAnsi="Arial" w:cs="Arial"/>
                <w:b w:val="0"/>
                <w:color w:val="215868" w:themeColor="accent5" w:themeShade="80"/>
                <w:sz w:val="18"/>
                <w:szCs w:val="18"/>
              </w:rPr>
              <w:t xml:space="preserve">  Fresh turkey</w:t>
            </w:r>
          </w:p>
        </w:tc>
        <w:tc>
          <w:tcPr>
            <w:tcW w:w="1350" w:type="dxa"/>
            <w:vAlign w:val="bottom"/>
          </w:tcPr>
          <w:p w14:paraId="3EBD5D69" w14:textId="101DFF08"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4.27</w:t>
            </w:r>
          </w:p>
        </w:tc>
        <w:tc>
          <w:tcPr>
            <w:tcW w:w="1620" w:type="dxa"/>
            <w:vAlign w:val="bottom"/>
          </w:tcPr>
          <w:p w14:paraId="01B56788" w14:textId="70120D1C"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18.5</w:t>
            </w:r>
            <w:r w:rsidRPr="00C267F7">
              <w:rPr>
                <w:rFonts w:ascii="Arial" w:hAnsi="Arial" w:cs="Arial"/>
                <w:color w:val="215868" w:themeColor="accent5" w:themeShade="80"/>
                <w:sz w:val="18"/>
                <w:szCs w:val="18"/>
              </w:rPr>
              <w:t>%</w:t>
            </w:r>
          </w:p>
        </w:tc>
        <w:tc>
          <w:tcPr>
            <w:tcW w:w="1620" w:type="dxa"/>
            <w:vAlign w:val="bottom"/>
          </w:tcPr>
          <w:p w14:paraId="27516C7A" w14:textId="30E07240"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6.70</w:t>
            </w:r>
          </w:p>
        </w:tc>
        <w:tc>
          <w:tcPr>
            <w:tcW w:w="1620" w:type="dxa"/>
            <w:vAlign w:val="bottom"/>
          </w:tcPr>
          <w:p w14:paraId="79BB5445" w14:textId="5E8476F9"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21.5</w:t>
            </w:r>
            <w:r w:rsidRPr="00C267F7">
              <w:rPr>
                <w:rFonts w:ascii="Arial" w:hAnsi="Arial" w:cs="Arial"/>
                <w:color w:val="215868" w:themeColor="accent5" w:themeShade="80"/>
                <w:sz w:val="18"/>
                <w:szCs w:val="18"/>
              </w:rPr>
              <w:t>%</w:t>
            </w:r>
          </w:p>
        </w:tc>
      </w:tr>
      <w:tr w:rsidR="001978D7" w:rsidRPr="00C267F7" w14:paraId="7C11163E" w14:textId="77777777" w:rsidTr="00736BE7">
        <w:trPr>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73309EDE" w14:textId="77777777" w:rsidR="001978D7" w:rsidRPr="00C267F7" w:rsidRDefault="001978D7" w:rsidP="001978D7">
            <w:pPr>
              <w:pStyle w:val="NoSpacing"/>
              <w:jc w:val="right"/>
              <w:rPr>
                <w:rFonts w:ascii="Arial" w:hAnsi="Arial" w:cs="Arial"/>
                <w:b w:val="0"/>
                <w:color w:val="215868" w:themeColor="accent5" w:themeShade="80"/>
                <w:sz w:val="18"/>
                <w:szCs w:val="18"/>
              </w:rPr>
            </w:pPr>
            <w:r w:rsidRPr="00C267F7">
              <w:rPr>
                <w:rFonts w:ascii="Arial" w:hAnsi="Arial" w:cs="Arial"/>
                <w:b w:val="0"/>
                <w:color w:val="215868" w:themeColor="accent5" w:themeShade="80"/>
                <w:sz w:val="18"/>
                <w:szCs w:val="18"/>
              </w:rPr>
              <w:t xml:space="preserve">  Fresh lamb</w:t>
            </w:r>
          </w:p>
        </w:tc>
        <w:tc>
          <w:tcPr>
            <w:tcW w:w="1350" w:type="dxa"/>
            <w:vAlign w:val="bottom"/>
          </w:tcPr>
          <w:p w14:paraId="2B4B9BF1" w14:textId="4E47B7C5"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9.62</w:t>
            </w:r>
          </w:p>
        </w:tc>
        <w:tc>
          <w:tcPr>
            <w:tcW w:w="1620" w:type="dxa"/>
            <w:vAlign w:val="bottom"/>
          </w:tcPr>
          <w:p w14:paraId="0EAA389B" w14:textId="58BD7DD6"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2.5</w:t>
            </w:r>
            <w:r w:rsidRPr="00C267F7">
              <w:rPr>
                <w:rFonts w:ascii="Arial" w:hAnsi="Arial" w:cs="Arial"/>
                <w:color w:val="215868" w:themeColor="accent5" w:themeShade="80"/>
                <w:sz w:val="18"/>
                <w:szCs w:val="18"/>
              </w:rPr>
              <w:t>%</w:t>
            </w:r>
          </w:p>
        </w:tc>
        <w:tc>
          <w:tcPr>
            <w:tcW w:w="1620" w:type="dxa"/>
            <w:vAlign w:val="bottom"/>
          </w:tcPr>
          <w:p w14:paraId="334A53CC" w14:textId="00200A68"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9.94</w:t>
            </w:r>
          </w:p>
        </w:tc>
        <w:tc>
          <w:tcPr>
            <w:tcW w:w="1620" w:type="dxa"/>
            <w:vAlign w:val="bottom"/>
          </w:tcPr>
          <w:p w14:paraId="457D8982" w14:textId="209802D3"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5.2</w:t>
            </w:r>
            <w:r w:rsidRPr="00C267F7">
              <w:rPr>
                <w:rFonts w:ascii="Arial" w:hAnsi="Arial" w:cs="Arial"/>
                <w:color w:val="215868" w:themeColor="accent5" w:themeShade="80"/>
                <w:sz w:val="18"/>
                <w:szCs w:val="18"/>
              </w:rPr>
              <w:t>%</w:t>
            </w:r>
          </w:p>
        </w:tc>
      </w:tr>
      <w:tr w:rsidR="001978D7" w:rsidRPr="00C267F7" w14:paraId="46FFF366" w14:textId="77777777" w:rsidTr="00736B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368F3672" w14:textId="77777777" w:rsidR="001978D7" w:rsidRPr="00C267F7" w:rsidRDefault="001978D7" w:rsidP="001978D7">
            <w:pPr>
              <w:pStyle w:val="NoSpacing"/>
              <w:jc w:val="right"/>
              <w:rPr>
                <w:rFonts w:ascii="Arial" w:hAnsi="Arial" w:cs="Arial"/>
                <w:b w:val="0"/>
                <w:bCs w:val="0"/>
                <w:color w:val="215868" w:themeColor="accent5" w:themeShade="80"/>
                <w:sz w:val="18"/>
                <w:szCs w:val="18"/>
              </w:rPr>
            </w:pPr>
            <w:r w:rsidRPr="00C267F7">
              <w:rPr>
                <w:rFonts w:ascii="Arial" w:hAnsi="Arial" w:cs="Arial"/>
                <w:b w:val="0"/>
                <w:bCs w:val="0"/>
                <w:color w:val="215868" w:themeColor="accent5" w:themeShade="80"/>
                <w:sz w:val="18"/>
                <w:szCs w:val="18"/>
              </w:rPr>
              <w:t>Fresh exotic</w:t>
            </w:r>
          </w:p>
        </w:tc>
        <w:tc>
          <w:tcPr>
            <w:tcW w:w="1350" w:type="dxa"/>
            <w:vAlign w:val="bottom"/>
          </w:tcPr>
          <w:p w14:paraId="2F2878E0" w14:textId="51E21F6A"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9.14</w:t>
            </w:r>
          </w:p>
        </w:tc>
        <w:tc>
          <w:tcPr>
            <w:tcW w:w="1620" w:type="dxa"/>
            <w:vAlign w:val="bottom"/>
          </w:tcPr>
          <w:p w14:paraId="3EB1EB76" w14:textId="041520A8"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1.8</w:t>
            </w:r>
            <w:r w:rsidRPr="00C267F7">
              <w:rPr>
                <w:rFonts w:ascii="Arial" w:hAnsi="Arial" w:cs="Arial"/>
                <w:color w:val="215868" w:themeColor="accent5" w:themeShade="80"/>
                <w:sz w:val="18"/>
                <w:szCs w:val="18"/>
              </w:rPr>
              <w:t>%</w:t>
            </w:r>
          </w:p>
        </w:tc>
        <w:tc>
          <w:tcPr>
            <w:tcW w:w="1620" w:type="dxa"/>
            <w:vAlign w:val="bottom"/>
          </w:tcPr>
          <w:p w14:paraId="4AA2EFA6" w14:textId="4BF9F434"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9.95</w:t>
            </w:r>
          </w:p>
        </w:tc>
        <w:tc>
          <w:tcPr>
            <w:tcW w:w="1620" w:type="dxa"/>
            <w:vAlign w:val="bottom"/>
          </w:tcPr>
          <w:p w14:paraId="67D08EB7" w14:textId="238EE5AC"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2.5</w:t>
            </w:r>
            <w:r w:rsidRPr="00C267F7">
              <w:rPr>
                <w:rFonts w:ascii="Arial" w:hAnsi="Arial" w:cs="Arial"/>
                <w:color w:val="215868" w:themeColor="accent5" w:themeShade="80"/>
                <w:sz w:val="18"/>
                <w:szCs w:val="18"/>
              </w:rPr>
              <w:t>%</w:t>
            </w:r>
          </w:p>
        </w:tc>
      </w:tr>
      <w:tr w:rsidR="001978D7" w:rsidRPr="00C267F7" w14:paraId="61635BD3" w14:textId="77777777" w:rsidTr="00736BE7">
        <w:trPr>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64295FA0" w14:textId="77777777" w:rsidR="001978D7" w:rsidRPr="00C267F7" w:rsidRDefault="001978D7" w:rsidP="001978D7">
            <w:pPr>
              <w:pStyle w:val="NoSpacing"/>
              <w:jc w:val="right"/>
              <w:rPr>
                <w:rFonts w:ascii="Arial" w:hAnsi="Arial" w:cs="Arial"/>
                <w:b w:val="0"/>
                <w:bCs w:val="0"/>
                <w:color w:val="215868" w:themeColor="accent5" w:themeShade="80"/>
                <w:sz w:val="18"/>
                <w:szCs w:val="18"/>
              </w:rPr>
            </w:pPr>
            <w:r w:rsidRPr="00C267F7">
              <w:rPr>
                <w:rFonts w:ascii="Arial" w:hAnsi="Arial" w:cs="Arial"/>
                <w:b w:val="0"/>
                <w:color w:val="215868" w:themeColor="accent5" w:themeShade="80"/>
                <w:sz w:val="18"/>
                <w:szCs w:val="18"/>
              </w:rPr>
              <w:t>Bacon</w:t>
            </w:r>
          </w:p>
        </w:tc>
        <w:tc>
          <w:tcPr>
            <w:tcW w:w="1350" w:type="dxa"/>
            <w:vAlign w:val="bottom"/>
          </w:tcPr>
          <w:p w14:paraId="22467995" w14:textId="16B39923"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6.77</w:t>
            </w:r>
          </w:p>
        </w:tc>
        <w:tc>
          <w:tcPr>
            <w:tcW w:w="1620" w:type="dxa"/>
            <w:vAlign w:val="bottom"/>
          </w:tcPr>
          <w:p w14:paraId="04B317A8" w14:textId="252AC4D2" w:rsidR="001978D7" w:rsidRPr="00C267F7" w:rsidRDefault="00C632A8"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-0.7</w:t>
            </w:r>
            <w:r w:rsidR="001978D7" w:rsidRPr="00C267F7">
              <w:rPr>
                <w:rFonts w:ascii="Arial" w:hAnsi="Arial" w:cs="Arial"/>
                <w:color w:val="215868" w:themeColor="accent5" w:themeShade="80"/>
                <w:sz w:val="18"/>
                <w:szCs w:val="18"/>
              </w:rPr>
              <w:t>%</w:t>
            </w:r>
          </w:p>
        </w:tc>
        <w:tc>
          <w:tcPr>
            <w:tcW w:w="1620" w:type="dxa"/>
            <w:vAlign w:val="bottom"/>
          </w:tcPr>
          <w:p w14:paraId="659F494B" w14:textId="49022424"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6.60</w:t>
            </w:r>
          </w:p>
        </w:tc>
        <w:tc>
          <w:tcPr>
            <w:tcW w:w="1620" w:type="dxa"/>
            <w:vAlign w:val="bottom"/>
          </w:tcPr>
          <w:p w14:paraId="2ACBA41B" w14:textId="632D29F9"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0.1</w:t>
            </w:r>
            <w:r w:rsidRPr="00C267F7">
              <w:rPr>
                <w:rFonts w:ascii="Arial" w:hAnsi="Arial" w:cs="Arial"/>
                <w:color w:val="215868" w:themeColor="accent5" w:themeShade="80"/>
                <w:sz w:val="18"/>
                <w:szCs w:val="18"/>
              </w:rPr>
              <w:t>%</w:t>
            </w:r>
          </w:p>
        </w:tc>
      </w:tr>
      <w:tr w:rsidR="001978D7" w:rsidRPr="00C267F7" w14:paraId="225C0BFC" w14:textId="77777777" w:rsidTr="00736B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3BC69A73" w14:textId="77777777" w:rsidR="001978D7" w:rsidRPr="00C267F7" w:rsidRDefault="001978D7" w:rsidP="001978D7">
            <w:pPr>
              <w:pStyle w:val="NoSpacing"/>
              <w:jc w:val="right"/>
              <w:rPr>
                <w:rFonts w:ascii="Arial" w:hAnsi="Arial" w:cs="Arial"/>
                <w:color w:val="215868" w:themeColor="accent5" w:themeShade="80"/>
                <w:sz w:val="18"/>
                <w:szCs w:val="18"/>
              </w:rPr>
            </w:pPr>
            <w:r w:rsidRPr="00C267F7">
              <w:rPr>
                <w:rFonts w:ascii="Arial" w:hAnsi="Arial" w:cs="Arial"/>
                <w:b w:val="0"/>
                <w:color w:val="215868" w:themeColor="accent5" w:themeShade="80"/>
                <w:sz w:val="18"/>
                <w:szCs w:val="18"/>
              </w:rPr>
              <w:t>Packaged lunchmeat</w:t>
            </w:r>
          </w:p>
        </w:tc>
        <w:tc>
          <w:tcPr>
            <w:tcW w:w="1350" w:type="dxa"/>
            <w:vAlign w:val="bottom"/>
          </w:tcPr>
          <w:p w14:paraId="4D1FFDBA" w14:textId="70AD9B20"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6.13</w:t>
            </w:r>
          </w:p>
        </w:tc>
        <w:tc>
          <w:tcPr>
            <w:tcW w:w="1620" w:type="dxa"/>
            <w:vAlign w:val="bottom"/>
          </w:tcPr>
          <w:p w14:paraId="5F559B24" w14:textId="5F91D844"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24.0</w:t>
            </w:r>
            <w:r w:rsidRPr="00C267F7">
              <w:rPr>
                <w:rFonts w:ascii="Arial" w:hAnsi="Arial" w:cs="Arial"/>
                <w:color w:val="215868" w:themeColor="accent5" w:themeShade="80"/>
                <w:sz w:val="18"/>
                <w:szCs w:val="18"/>
              </w:rPr>
              <w:t>%</w:t>
            </w:r>
          </w:p>
        </w:tc>
        <w:tc>
          <w:tcPr>
            <w:tcW w:w="1620" w:type="dxa"/>
            <w:vAlign w:val="bottom"/>
          </w:tcPr>
          <w:p w14:paraId="722D945C" w14:textId="691AD146"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4.60</w:t>
            </w:r>
          </w:p>
        </w:tc>
        <w:tc>
          <w:tcPr>
            <w:tcW w:w="1620" w:type="dxa"/>
            <w:vAlign w:val="bottom"/>
          </w:tcPr>
          <w:p w14:paraId="59A176EB" w14:textId="5F9BDF07"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20.8</w:t>
            </w:r>
            <w:r w:rsidRPr="00C267F7">
              <w:rPr>
                <w:rFonts w:ascii="Arial" w:hAnsi="Arial" w:cs="Arial"/>
                <w:color w:val="215868" w:themeColor="accent5" w:themeShade="80"/>
                <w:sz w:val="18"/>
                <w:szCs w:val="18"/>
              </w:rPr>
              <w:t>%</w:t>
            </w:r>
          </w:p>
        </w:tc>
      </w:tr>
      <w:tr w:rsidR="001978D7" w:rsidRPr="00C267F7" w14:paraId="275A5FB4" w14:textId="77777777" w:rsidTr="00736BE7">
        <w:trPr>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40448AA1" w14:textId="77777777" w:rsidR="001978D7" w:rsidRPr="00C267F7" w:rsidRDefault="001978D7" w:rsidP="001978D7">
            <w:pPr>
              <w:pStyle w:val="NoSpacing"/>
              <w:jc w:val="right"/>
              <w:rPr>
                <w:rFonts w:ascii="Arial" w:hAnsi="Arial" w:cs="Arial"/>
                <w:color w:val="215868" w:themeColor="accent5" w:themeShade="80"/>
                <w:sz w:val="18"/>
                <w:szCs w:val="18"/>
              </w:rPr>
            </w:pPr>
            <w:r w:rsidRPr="00C267F7">
              <w:rPr>
                <w:rFonts w:ascii="Arial" w:hAnsi="Arial" w:cs="Arial"/>
                <w:b w:val="0"/>
                <w:color w:val="215868" w:themeColor="accent5" w:themeShade="80"/>
                <w:sz w:val="18"/>
                <w:szCs w:val="18"/>
              </w:rPr>
              <w:t>Dinner sausage</w:t>
            </w:r>
          </w:p>
        </w:tc>
        <w:tc>
          <w:tcPr>
            <w:tcW w:w="1350" w:type="dxa"/>
            <w:vAlign w:val="bottom"/>
          </w:tcPr>
          <w:p w14:paraId="2087124A" w14:textId="2BF2B5E8"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4.52</w:t>
            </w:r>
          </w:p>
        </w:tc>
        <w:tc>
          <w:tcPr>
            <w:tcW w:w="1620" w:type="dxa"/>
            <w:vAlign w:val="bottom"/>
          </w:tcPr>
          <w:p w14:paraId="78D56584" w14:textId="03D56781"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11.8</w:t>
            </w:r>
            <w:r w:rsidRPr="00C267F7">
              <w:rPr>
                <w:rFonts w:ascii="Arial" w:hAnsi="Arial" w:cs="Arial"/>
                <w:color w:val="215868" w:themeColor="accent5" w:themeShade="80"/>
                <w:sz w:val="18"/>
                <w:szCs w:val="18"/>
              </w:rPr>
              <w:t>%</w:t>
            </w:r>
          </w:p>
        </w:tc>
        <w:tc>
          <w:tcPr>
            <w:tcW w:w="1620" w:type="dxa"/>
            <w:vAlign w:val="bottom"/>
          </w:tcPr>
          <w:p w14:paraId="2DA4617B" w14:textId="022BE0E0"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4.77</w:t>
            </w:r>
          </w:p>
        </w:tc>
        <w:tc>
          <w:tcPr>
            <w:tcW w:w="1620" w:type="dxa"/>
            <w:vAlign w:val="bottom"/>
          </w:tcPr>
          <w:p w14:paraId="163C6E26" w14:textId="7C3E9C51"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9.9</w:t>
            </w:r>
            <w:r w:rsidRPr="00C267F7">
              <w:rPr>
                <w:rFonts w:ascii="Arial" w:hAnsi="Arial" w:cs="Arial"/>
                <w:color w:val="215868" w:themeColor="accent5" w:themeShade="80"/>
                <w:sz w:val="18"/>
                <w:szCs w:val="18"/>
              </w:rPr>
              <w:t>%</w:t>
            </w:r>
          </w:p>
        </w:tc>
      </w:tr>
      <w:tr w:rsidR="001978D7" w:rsidRPr="00C267F7" w14:paraId="1800BB78" w14:textId="77777777" w:rsidTr="00736B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51164332" w14:textId="77777777" w:rsidR="001978D7" w:rsidRPr="00C267F7" w:rsidRDefault="001978D7" w:rsidP="001978D7">
            <w:pPr>
              <w:pStyle w:val="NoSpacing"/>
              <w:jc w:val="right"/>
              <w:rPr>
                <w:rFonts w:ascii="Arial" w:hAnsi="Arial" w:cs="Arial"/>
                <w:color w:val="215868" w:themeColor="accent5" w:themeShade="80"/>
                <w:sz w:val="18"/>
                <w:szCs w:val="18"/>
              </w:rPr>
            </w:pPr>
            <w:r w:rsidRPr="00C267F7">
              <w:rPr>
                <w:rFonts w:ascii="Arial" w:hAnsi="Arial" w:cs="Arial"/>
                <w:b w:val="0"/>
                <w:color w:val="215868" w:themeColor="accent5" w:themeShade="80"/>
                <w:sz w:val="18"/>
                <w:szCs w:val="18"/>
              </w:rPr>
              <w:t>Frankfurters</w:t>
            </w:r>
          </w:p>
        </w:tc>
        <w:tc>
          <w:tcPr>
            <w:tcW w:w="1350" w:type="dxa"/>
            <w:vAlign w:val="bottom"/>
          </w:tcPr>
          <w:p w14:paraId="5E1CC7F4" w14:textId="14FE6D14"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3.38</w:t>
            </w:r>
          </w:p>
        </w:tc>
        <w:tc>
          <w:tcPr>
            <w:tcW w:w="1620" w:type="dxa"/>
            <w:vAlign w:val="bottom"/>
          </w:tcPr>
          <w:p w14:paraId="112FBFF9" w14:textId="3184EF3C"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9.8</w:t>
            </w:r>
            <w:r w:rsidRPr="00C267F7">
              <w:rPr>
                <w:rFonts w:ascii="Arial" w:hAnsi="Arial" w:cs="Arial"/>
                <w:color w:val="215868" w:themeColor="accent5" w:themeShade="80"/>
                <w:sz w:val="18"/>
                <w:szCs w:val="18"/>
              </w:rPr>
              <w:t>%</w:t>
            </w:r>
          </w:p>
        </w:tc>
        <w:tc>
          <w:tcPr>
            <w:tcW w:w="1620" w:type="dxa"/>
            <w:vAlign w:val="bottom"/>
          </w:tcPr>
          <w:p w14:paraId="6FE46F3F" w14:textId="13F9D13F"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3.71</w:t>
            </w:r>
          </w:p>
        </w:tc>
        <w:tc>
          <w:tcPr>
            <w:tcW w:w="1620" w:type="dxa"/>
            <w:vAlign w:val="bottom"/>
          </w:tcPr>
          <w:p w14:paraId="298CC225" w14:textId="751AA1A4"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10.8</w:t>
            </w:r>
            <w:r w:rsidRPr="00C267F7">
              <w:rPr>
                <w:rFonts w:ascii="Arial" w:hAnsi="Arial" w:cs="Arial"/>
                <w:color w:val="215868" w:themeColor="accent5" w:themeShade="80"/>
                <w:sz w:val="18"/>
                <w:szCs w:val="18"/>
              </w:rPr>
              <w:t>%</w:t>
            </w:r>
          </w:p>
        </w:tc>
      </w:tr>
      <w:tr w:rsidR="001978D7" w:rsidRPr="00C267F7" w14:paraId="4C48DCB9" w14:textId="77777777" w:rsidTr="00736BE7">
        <w:trPr>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6F249CA5" w14:textId="77777777" w:rsidR="001978D7" w:rsidRPr="00C267F7" w:rsidRDefault="001978D7" w:rsidP="001978D7">
            <w:pPr>
              <w:pStyle w:val="NoSpacing"/>
              <w:jc w:val="right"/>
              <w:rPr>
                <w:rFonts w:ascii="Arial" w:hAnsi="Arial" w:cs="Arial"/>
                <w:color w:val="215868" w:themeColor="accent5" w:themeShade="80"/>
                <w:sz w:val="18"/>
                <w:szCs w:val="18"/>
              </w:rPr>
            </w:pPr>
            <w:r w:rsidRPr="00C267F7">
              <w:rPr>
                <w:rFonts w:ascii="Arial" w:hAnsi="Arial" w:cs="Arial"/>
                <w:b w:val="0"/>
                <w:color w:val="215868" w:themeColor="accent5" w:themeShade="80"/>
                <w:sz w:val="18"/>
                <w:szCs w:val="18"/>
              </w:rPr>
              <w:t>Breakfast sausage</w:t>
            </w:r>
          </w:p>
        </w:tc>
        <w:tc>
          <w:tcPr>
            <w:tcW w:w="1350" w:type="dxa"/>
            <w:vAlign w:val="bottom"/>
          </w:tcPr>
          <w:p w14:paraId="6A9A4CAA" w14:textId="3F5261D7"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4.94</w:t>
            </w:r>
          </w:p>
        </w:tc>
        <w:tc>
          <w:tcPr>
            <w:tcW w:w="1620" w:type="dxa"/>
            <w:vAlign w:val="bottom"/>
          </w:tcPr>
          <w:p w14:paraId="3C7C1729" w14:textId="5384F109"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15.2</w:t>
            </w:r>
            <w:r w:rsidRPr="00C267F7">
              <w:rPr>
                <w:rFonts w:ascii="Arial" w:hAnsi="Arial" w:cs="Arial"/>
                <w:color w:val="215868" w:themeColor="accent5" w:themeShade="80"/>
                <w:sz w:val="18"/>
                <w:szCs w:val="18"/>
              </w:rPr>
              <w:t>%</w:t>
            </w:r>
          </w:p>
        </w:tc>
        <w:tc>
          <w:tcPr>
            <w:tcW w:w="1620" w:type="dxa"/>
            <w:vAlign w:val="bottom"/>
          </w:tcPr>
          <w:p w14:paraId="7F914DF7" w14:textId="7C656854"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4.53</w:t>
            </w:r>
          </w:p>
        </w:tc>
        <w:tc>
          <w:tcPr>
            <w:tcW w:w="1620" w:type="dxa"/>
            <w:vAlign w:val="bottom"/>
          </w:tcPr>
          <w:p w14:paraId="04690747" w14:textId="16E34BCC"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15.9</w:t>
            </w:r>
            <w:r w:rsidRPr="00C267F7">
              <w:rPr>
                <w:rFonts w:ascii="Arial" w:hAnsi="Arial" w:cs="Arial"/>
                <w:color w:val="215868" w:themeColor="accent5" w:themeShade="80"/>
                <w:sz w:val="18"/>
                <w:szCs w:val="18"/>
              </w:rPr>
              <w:t>%</w:t>
            </w:r>
          </w:p>
        </w:tc>
      </w:tr>
      <w:tr w:rsidR="001978D7" w:rsidRPr="00C267F7" w14:paraId="4CA2A58E" w14:textId="77777777" w:rsidTr="00736B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22488C4F" w14:textId="77777777" w:rsidR="001978D7" w:rsidRPr="00C267F7" w:rsidRDefault="001978D7" w:rsidP="001978D7">
            <w:pPr>
              <w:pStyle w:val="NoSpacing"/>
              <w:jc w:val="right"/>
              <w:rPr>
                <w:rFonts w:ascii="Arial" w:hAnsi="Arial" w:cs="Arial"/>
                <w:color w:val="215868" w:themeColor="accent5" w:themeShade="80"/>
                <w:sz w:val="18"/>
                <w:szCs w:val="18"/>
              </w:rPr>
            </w:pPr>
            <w:r w:rsidRPr="00C267F7">
              <w:rPr>
                <w:rFonts w:ascii="Arial" w:hAnsi="Arial" w:cs="Arial"/>
                <w:b w:val="0"/>
                <w:color w:val="215868" w:themeColor="accent5" w:themeShade="80"/>
                <w:sz w:val="18"/>
                <w:szCs w:val="18"/>
              </w:rPr>
              <w:t>Smoked ham</w:t>
            </w:r>
          </w:p>
        </w:tc>
        <w:tc>
          <w:tcPr>
            <w:tcW w:w="1350" w:type="dxa"/>
            <w:vAlign w:val="bottom"/>
          </w:tcPr>
          <w:p w14:paraId="543B8A24" w14:textId="2A8DA303"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3.95</w:t>
            </w:r>
          </w:p>
        </w:tc>
        <w:tc>
          <w:tcPr>
            <w:tcW w:w="1620" w:type="dxa"/>
            <w:vAlign w:val="bottom"/>
          </w:tcPr>
          <w:p w14:paraId="0B2F5FF2" w14:textId="13158C04"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4.3</w:t>
            </w:r>
            <w:r w:rsidRPr="00C267F7">
              <w:rPr>
                <w:rFonts w:ascii="Arial" w:hAnsi="Arial" w:cs="Arial"/>
                <w:color w:val="215868" w:themeColor="accent5" w:themeShade="80"/>
                <w:sz w:val="18"/>
                <w:szCs w:val="18"/>
              </w:rPr>
              <w:t>%</w:t>
            </w:r>
          </w:p>
        </w:tc>
        <w:tc>
          <w:tcPr>
            <w:tcW w:w="1620" w:type="dxa"/>
            <w:vAlign w:val="bottom"/>
          </w:tcPr>
          <w:p w14:paraId="33808ABA" w14:textId="734FEE83"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6.18</w:t>
            </w:r>
          </w:p>
        </w:tc>
        <w:tc>
          <w:tcPr>
            <w:tcW w:w="1620" w:type="dxa"/>
            <w:vAlign w:val="bottom"/>
          </w:tcPr>
          <w:p w14:paraId="6556C3CE" w14:textId="615E3FF1"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5.0</w:t>
            </w:r>
            <w:r w:rsidRPr="00C267F7">
              <w:rPr>
                <w:rFonts w:ascii="Arial" w:hAnsi="Arial" w:cs="Arial"/>
                <w:color w:val="215868" w:themeColor="accent5" w:themeShade="80"/>
                <w:sz w:val="18"/>
                <w:szCs w:val="18"/>
              </w:rPr>
              <w:t>%</w:t>
            </w:r>
          </w:p>
        </w:tc>
      </w:tr>
      <w:tr w:rsidR="001978D7" w:rsidRPr="00C267F7" w14:paraId="20FBCD3E" w14:textId="77777777" w:rsidTr="00736BE7">
        <w:trPr>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16B60BC2" w14:textId="77777777" w:rsidR="001978D7" w:rsidRPr="00C267F7" w:rsidRDefault="001978D7" w:rsidP="001978D7">
            <w:pPr>
              <w:pStyle w:val="NoSpacing"/>
              <w:jc w:val="right"/>
              <w:rPr>
                <w:rFonts w:ascii="Arial" w:hAnsi="Arial" w:cs="Arial"/>
                <w:color w:val="215868" w:themeColor="accent5" w:themeShade="80"/>
                <w:sz w:val="18"/>
                <w:szCs w:val="18"/>
              </w:rPr>
            </w:pPr>
            <w:r w:rsidRPr="00C267F7">
              <w:rPr>
                <w:rFonts w:ascii="Arial" w:hAnsi="Arial" w:cs="Arial"/>
                <w:b w:val="0"/>
                <w:bCs w:val="0"/>
                <w:color w:val="215868" w:themeColor="accent5" w:themeShade="80"/>
                <w:sz w:val="18"/>
                <w:szCs w:val="18"/>
              </w:rPr>
              <w:t>Processed chicken</w:t>
            </w:r>
          </w:p>
        </w:tc>
        <w:tc>
          <w:tcPr>
            <w:tcW w:w="1350" w:type="dxa"/>
            <w:vAlign w:val="bottom"/>
          </w:tcPr>
          <w:p w14:paraId="60EDDCC7" w14:textId="3492F137"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7.24</w:t>
            </w:r>
          </w:p>
        </w:tc>
        <w:tc>
          <w:tcPr>
            <w:tcW w:w="1620" w:type="dxa"/>
            <w:vAlign w:val="bottom"/>
          </w:tcPr>
          <w:p w14:paraId="203BAD30" w14:textId="15435E5C"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16.9</w:t>
            </w:r>
            <w:r w:rsidRPr="00C267F7">
              <w:rPr>
                <w:rFonts w:ascii="Arial" w:hAnsi="Arial" w:cs="Arial"/>
                <w:color w:val="215868" w:themeColor="accent5" w:themeShade="80"/>
                <w:sz w:val="18"/>
                <w:szCs w:val="18"/>
              </w:rPr>
              <w:t>%</w:t>
            </w:r>
          </w:p>
        </w:tc>
        <w:tc>
          <w:tcPr>
            <w:tcW w:w="1620" w:type="dxa"/>
            <w:vAlign w:val="bottom"/>
          </w:tcPr>
          <w:p w14:paraId="2C6FDDAF" w14:textId="2DD57D02"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5.66</w:t>
            </w:r>
          </w:p>
        </w:tc>
        <w:tc>
          <w:tcPr>
            <w:tcW w:w="1620" w:type="dxa"/>
            <w:vAlign w:val="bottom"/>
          </w:tcPr>
          <w:p w14:paraId="5A9854D8" w14:textId="0ED4B071"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20.7</w:t>
            </w:r>
            <w:r w:rsidRPr="00C267F7">
              <w:rPr>
                <w:rFonts w:ascii="Arial" w:hAnsi="Arial" w:cs="Arial"/>
                <w:color w:val="215868" w:themeColor="accent5" w:themeShade="80"/>
                <w:sz w:val="18"/>
                <w:szCs w:val="18"/>
              </w:rPr>
              <w:t>%</w:t>
            </w:r>
          </w:p>
        </w:tc>
      </w:tr>
      <w:tr w:rsidR="001978D7" w:rsidRPr="00C267F7" w14:paraId="5B7BD93D" w14:textId="77777777" w:rsidTr="00736B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4A9D3482" w14:textId="77777777" w:rsidR="001978D7" w:rsidRPr="00C267F7" w:rsidRDefault="001978D7" w:rsidP="001978D7">
            <w:pPr>
              <w:pStyle w:val="NoSpacing"/>
              <w:jc w:val="right"/>
              <w:rPr>
                <w:rFonts w:ascii="Arial" w:hAnsi="Arial" w:cs="Arial"/>
                <w:color w:val="215868" w:themeColor="accent5" w:themeShade="80"/>
                <w:sz w:val="18"/>
                <w:szCs w:val="18"/>
              </w:rPr>
            </w:pPr>
          </w:p>
        </w:tc>
        <w:tc>
          <w:tcPr>
            <w:tcW w:w="1350" w:type="dxa"/>
            <w:vAlign w:val="bottom"/>
          </w:tcPr>
          <w:p w14:paraId="0BF43D44" w14:textId="094C44F1"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p>
        </w:tc>
        <w:tc>
          <w:tcPr>
            <w:tcW w:w="1620" w:type="dxa"/>
            <w:vAlign w:val="bottom"/>
          </w:tcPr>
          <w:p w14:paraId="33DF0B9B" w14:textId="286D6F1C"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p>
        </w:tc>
        <w:tc>
          <w:tcPr>
            <w:tcW w:w="1620" w:type="dxa"/>
            <w:vAlign w:val="bottom"/>
          </w:tcPr>
          <w:p w14:paraId="0ECD121A" w14:textId="6AC87CED"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p>
        </w:tc>
        <w:tc>
          <w:tcPr>
            <w:tcW w:w="1620" w:type="dxa"/>
            <w:vAlign w:val="bottom"/>
          </w:tcPr>
          <w:p w14:paraId="6C3C2C49" w14:textId="35DC9838" w:rsidR="001978D7" w:rsidRPr="00C267F7" w:rsidRDefault="001978D7" w:rsidP="001978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p>
        </w:tc>
      </w:tr>
      <w:tr w:rsidR="001978D7" w:rsidRPr="00C267F7" w14:paraId="7AB3910E" w14:textId="77777777" w:rsidTr="00736BE7">
        <w:trPr>
          <w:trHeight w:val="2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3949E894" w14:textId="215B3649" w:rsidR="001978D7" w:rsidRPr="00C267F7" w:rsidRDefault="001978D7" w:rsidP="001978D7">
            <w:pPr>
              <w:pStyle w:val="NoSpacing"/>
              <w:jc w:val="right"/>
              <w:rPr>
                <w:rFonts w:ascii="Arial" w:hAnsi="Arial" w:cs="Arial"/>
                <w:b w:val="0"/>
                <w:bCs w:val="0"/>
                <w:color w:val="215868" w:themeColor="accent5" w:themeShade="80"/>
                <w:sz w:val="18"/>
                <w:szCs w:val="18"/>
              </w:rPr>
            </w:pPr>
            <w:r w:rsidRPr="00C267F7">
              <w:rPr>
                <w:rFonts w:ascii="Arial" w:hAnsi="Arial" w:cs="Arial"/>
                <w:b w:val="0"/>
                <w:bCs w:val="0"/>
                <w:color w:val="215868" w:themeColor="accent5" w:themeShade="80"/>
                <w:sz w:val="18"/>
                <w:szCs w:val="18"/>
              </w:rPr>
              <w:t>Meat alternatives</w:t>
            </w:r>
          </w:p>
        </w:tc>
        <w:tc>
          <w:tcPr>
            <w:tcW w:w="1350" w:type="dxa"/>
            <w:vAlign w:val="bottom"/>
          </w:tcPr>
          <w:p w14:paraId="636C536D" w14:textId="2ACB2BBE"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8.42</w:t>
            </w:r>
          </w:p>
        </w:tc>
        <w:tc>
          <w:tcPr>
            <w:tcW w:w="1620" w:type="dxa"/>
            <w:vAlign w:val="bottom"/>
          </w:tcPr>
          <w:p w14:paraId="4DC95862" w14:textId="3913EBA1"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4.1</w:t>
            </w:r>
            <w:r w:rsidRPr="00C267F7">
              <w:rPr>
                <w:rFonts w:ascii="Arial" w:hAnsi="Arial" w:cs="Arial"/>
                <w:color w:val="215868" w:themeColor="accent5" w:themeShade="80"/>
                <w:sz w:val="18"/>
                <w:szCs w:val="18"/>
              </w:rPr>
              <w:t>%</w:t>
            </w:r>
          </w:p>
        </w:tc>
        <w:tc>
          <w:tcPr>
            <w:tcW w:w="1620" w:type="dxa"/>
            <w:vAlign w:val="bottom"/>
          </w:tcPr>
          <w:p w14:paraId="405094FF" w14:textId="10EBF41B"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267F7">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5.34</w:t>
            </w:r>
          </w:p>
        </w:tc>
        <w:tc>
          <w:tcPr>
            <w:tcW w:w="1620" w:type="dxa"/>
            <w:vAlign w:val="bottom"/>
          </w:tcPr>
          <w:p w14:paraId="6E70DBF7" w14:textId="50FA9835" w:rsidR="001978D7" w:rsidRPr="00C267F7" w:rsidRDefault="001978D7" w:rsidP="001978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3.7</w:t>
            </w:r>
            <w:r w:rsidRPr="00C267F7">
              <w:rPr>
                <w:rFonts w:ascii="Arial" w:hAnsi="Arial" w:cs="Arial"/>
                <w:color w:val="215868" w:themeColor="accent5" w:themeShade="80"/>
                <w:sz w:val="18"/>
                <w:szCs w:val="18"/>
              </w:rPr>
              <w:t>%</w:t>
            </w:r>
          </w:p>
        </w:tc>
      </w:tr>
    </w:tbl>
    <w:p w14:paraId="76FD9724" w14:textId="77777777" w:rsidR="00BB6906" w:rsidRPr="001B04EA" w:rsidRDefault="00BB6906" w:rsidP="003C65CF">
      <w:pPr>
        <w:pStyle w:val="NoSpacing"/>
        <w:rPr>
          <w:rFonts w:ascii="Arial" w:hAnsi="Arial" w:cs="Arial"/>
          <w:sz w:val="8"/>
          <w:szCs w:val="8"/>
        </w:rPr>
      </w:pPr>
    </w:p>
    <w:p w14:paraId="799C3530" w14:textId="649DFA97" w:rsidR="00BB6906" w:rsidRDefault="00BB6906" w:rsidP="00BB6906">
      <w:pPr>
        <w:pStyle w:val="NoSpacing"/>
        <w:rPr>
          <w:rFonts w:ascii="Arial" w:hAnsi="Arial" w:cs="Arial"/>
          <w:sz w:val="16"/>
          <w:szCs w:val="16"/>
        </w:rPr>
      </w:pPr>
      <w:r>
        <w:rPr>
          <w:rFonts w:ascii="Arial" w:hAnsi="Arial" w:cs="Arial"/>
          <w:sz w:val="16"/>
          <w:szCs w:val="16"/>
        </w:rPr>
        <w:t>Source: IRI, Integrated Fresh, Total US, MULO</w:t>
      </w:r>
    </w:p>
    <w:bookmarkEnd w:id="2"/>
    <w:p w14:paraId="1BA35756" w14:textId="77777777" w:rsidR="00C60BB2" w:rsidRDefault="00C60BB2" w:rsidP="00BB6906">
      <w:pPr>
        <w:pStyle w:val="NoSpacing"/>
        <w:rPr>
          <w:rFonts w:ascii="Arial" w:hAnsi="Arial" w:cs="Arial"/>
          <w:sz w:val="16"/>
          <w:szCs w:val="16"/>
        </w:rPr>
      </w:pPr>
    </w:p>
    <w:p w14:paraId="78B16F0A" w14:textId="77777777" w:rsidR="002E4195" w:rsidRDefault="002E4195" w:rsidP="002D6E07">
      <w:pPr>
        <w:spacing w:after="0" w:line="240" w:lineRule="auto"/>
        <w:rPr>
          <w:rFonts w:ascii="Arial" w:hAnsi="Arial" w:cs="Arial"/>
          <w:b/>
          <w:bCs/>
          <w:color w:val="595959" w:themeColor="text1" w:themeTint="A6"/>
          <w:sz w:val="24"/>
          <w:szCs w:val="24"/>
        </w:rPr>
      </w:pPr>
    </w:p>
    <w:p w14:paraId="49FDD588" w14:textId="530A0D7C" w:rsidR="00AD3F7F" w:rsidRPr="00F220D0" w:rsidRDefault="00C713A9" w:rsidP="002D6E07">
      <w:pPr>
        <w:spacing w:after="0" w:line="240" w:lineRule="auto"/>
        <w:rPr>
          <w:rFonts w:ascii="Arial" w:hAnsi="Arial" w:cs="Arial"/>
          <w:b/>
          <w:bCs/>
          <w:color w:val="595959" w:themeColor="text1" w:themeTint="A6"/>
          <w:sz w:val="24"/>
          <w:szCs w:val="24"/>
        </w:rPr>
      </w:pPr>
      <w:r>
        <w:rPr>
          <w:rFonts w:ascii="Arial" w:hAnsi="Arial" w:cs="Arial"/>
          <w:b/>
          <w:bCs/>
          <w:color w:val="595959" w:themeColor="text1" w:themeTint="A6"/>
          <w:sz w:val="24"/>
          <w:szCs w:val="24"/>
        </w:rPr>
        <w:t xml:space="preserve">Meat Sales </w:t>
      </w:r>
      <w:r w:rsidR="00A11196">
        <w:rPr>
          <w:rFonts w:ascii="Arial" w:hAnsi="Arial" w:cs="Arial"/>
          <w:b/>
          <w:bCs/>
          <w:color w:val="595959" w:themeColor="text1" w:themeTint="A6"/>
          <w:sz w:val="24"/>
          <w:szCs w:val="24"/>
        </w:rPr>
        <w:t>September</w:t>
      </w:r>
      <w:r w:rsidR="007E7F25">
        <w:rPr>
          <w:rFonts w:ascii="Arial" w:hAnsi="Arial" w:cs="Arial"/>
          <w:b/>
          <w:bCs/>
          <w:color w:val="595959" w:themeColor="text1" w:themeTint="A6"/>
          <w:sz w:val="24"/>
          <w:szCs w:val="24"/>
        </w:rPr>
        <w:t xml:space="preserve"> </w:t>
      </w:r>
      <w:r w:rsidR="00C60BB2">
        <w:rPr>
          <w:rFonts w:ascii="Arial" w:hAnsi="Arial" w:cs="Arial"/>
          <w:b/>
          <w:bCs/>
          <w:color w:val="595959" w:themeColor="text1" w:themeTint="A6"/>
          <w:sz w:val="24"/>
          <w:szCs w:val="24"/>
        </w:rPr>
        <w:t>2022</w:t>
      </w:r>
    </w:p>
    <w:p w14:paraId="32AD6B61" w14:textId="0410968C" w:rsidR="00475BB4" w:rsidRDefault="00C632A8" w:rsidP="002D6E07">
      <w:pPr>
        <w:spacing w:after="0" w:line="240" w:lineRule="auto"/>
        <w:rPr>
          <w:rFonts w:ascii="Arial" w:hAnsi="Arial" w:cs="Arial"/>
          <w:sz w:val="20"/>
          <w:szCs w:val="20"/>
        </w:rPr>
      </w:pPr>
      <w:r>
        <w:rPr>
          <w:rFonts w:ascii="Arial" w:hAnsi="Arial" w:cs="Arial"/>
          <w:sz w:val="20"/>
          <w:szCs w:val="20"/>
        </w:rPr>
        <w:t xml:space="preserve">September sales looked much better than August. Dollars exceeded prior year levels by 4.1% and volume sales were within 2.5% of last year. </w:t>
      </w:r>
      <w:r w:rsidR="006B5E67" w:rsidRPr="00C632A8">
        <w:rPr>
          <w:rFonts w:ascii="Arial" w:hAnsi="Arial" w:cs="Arial"/>
          <w:sz w:val="20"/>
          <w:szCs w:val="20"/>
        </w:rPr>
        <w:t xml:space="preserve">Additionally, </w:t>
      </w:r>
      <w:r>
        <w:rPr>
          <w:rFonts w:ascii="Arial" w:hAnsi="Arial" w:cs="Arial"/>
          <w:sz w:val="20"/>
          <w:szCs w:val="20"/>
        </w:rPr>
        <w:t xml:space="preserve">September </w:t>
      </w:r>
      <w:r w:rsidR="006B5E67" w:rsidRPr="00C632A8">
        <w:rPr>
          <w:rFonts w:ascii="Arial" w:hAnsi="Arial" w:cs="Arial"/>
          <w:sz w:val="20"/>
          <w:szCs w:val="20"/>
        </w:rPr>
        <w:t xml:space="preserve">volume </w:t>
      </w:r>
      <w:r>
        <w:rPr>
          <w:rFonts w:ascii="Arial" w:hAnsi="Arial" w:cs="Arial"/>
          <w:sz w:val="20"/>
          <w:szCs w:val="20"/>
        </w:rPr>
        <w:t xml:space="preserve">moved significantly ahead of the 2019 pre-pandemic levels for both fresh and processed meat. </w:t>
      </w:r>
    </w:p>
    <w:p w14:paraId="41FD3E42" w14:textId="77777777" w:rsidR="00475BB4" w:rsidRDefault="00475BB4" w:rsidP="002D6E07">
      <w:pPr>
        <w:spacing w:after="0" w:line="240" w:lineRule="auto"/>
        <w:rPr>
          <w:rFonts w:ascii="Arial" w:hAnsi="Arial" w:cs="Arial"/>
          <w:sz w:val="20"/>
          <w:szCs w:val="20"/>
        </w:rPr>
      </w:pPr>
    </w:p>
    <w:tbl>
      <w:tblPr>
        <w:tblStyle w:val="LightShading-Accent5"/>
        <w:tblW w:w="10281" w:type="dxa"/>
        <w:tblBorders>
          <w:top w:val="none" w:sz="0" w:space="0" w:color="auto"/>
          <w:bottom w:val="none" w:sz="0" w:space="0" w:color="auto"/>
        </w:tblBorders>
        <w:tblLook w:val="04A0" w:firstRow="1" w:lastRow="0" w:firstColumn="1" w:lastColumn="0" w:noHBand="0" w:noVBand="1"/>
      </w:tblPr>
      <w:tblGrid>
        <w:gridCol w:w="2624"/>
        <w:gridCol w:w="1165"/>
        <w:gridCol w:w="1165"/>
        <w:gridCol w:w="1165"/>
        <w:gridCol w:w="1509"/>
        <w:gridCol w:w="1350"/>
        <w:gridCol w:w="1303"/>
      </w:tblGrid>
      <w:tr w:rsidR="00C60BB2" w:rsidRPr="00787719" w14:paraId="22807453" w14:textId="77777777" w:rsidTr="00A770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24" w:type="dxa"/>
            <w:tcBorders>
              <w:top w:val="none" w:sz="0" w:space="0" w:color="auto"/>
              <w:left w:val="none" w:sz="0" w:space="0" w:color="auto"/>
              <w:bottom w:val="none" w:sz="0" w:space="0" w:color="auto"/>
              <w:right w:val="none" w:sz="0" w:space="0" w:color="auto"/>
            </w:tcBorders>
            <w:shd w:val="clear" w:color="auto" w:fill="17365D" w:themeFill="text2" w:themeFillShade="BF"/>
            <w:vAlign w:val="bottom"/>
          </w:tcPr>
          <w:p w14:paraId="2B4A3189" w14:textId="7399E144" w:rsidR="00C60BB2" w:rsidRDefault="00C60BB2" w:rsidP="00C60BB2">
            <w:pPr>
              <w:rPr>
                <w:rFonts w:ascii="Arial" w:hAnsi="Arial" w:cs="Arial"/>
                <w:b w:val="0"/>
                <w:bCs w:val="0"/>
                <w:color w:val="FFFFFF" w:themeColor="background1"/>
                <w:sz w:val="18"/>
                <w:szCs w:val="20"/>
              </w:rPr>
            </w:pPr>
            <w:r w:rsidRPr="00475BB4">
              <w:rPr>
                <w:rFonts w:ascii="Arial" w:hAnsi="Arial" w:cs="Arial"/>
                <w:color w:val="FFFFFF" w:themeColor="background1"/>
                <w:sz w:val="18"/>
                <w:szCs w:val="20"/>
              </w:rPr>
              <w:t>Meat department —</w:t>
            </w:r>
            <w:r w:rsidR="00E36985">
              <w:rPr>
                <w:rFonts w:ascii="Arial" w:hAnsi="Arial" w:cs="Arial"/>
                <w:color w:val="FFFFFF" w:themeColor="background1"/>
                <w:sz w:val="18"/>
                <w:szCs w:val="20"/>
              </w:rPr>
              <w:br/>
            </w:r>
            <w:r w:rsidR="00A11196">
              <w:rPr>
                <w:rFonts w:ascii="Arial" w:hAnsi="Arial" w:cs="Arial"/>
                <w:color w:val="FFFFFF" w:themeColor="background1"/>
                <w:sz w:val="18"/>
                <w:szCs w:val="20"/>
              </w:rPr>
              <w:t>September</w:t>
            </w:r>
            <w:r w:rsidR="006629E5">
              <w:rPr>
                <w:rFonts w:ascii="Arial" w:hAnsi="Arial" w:cs="Arial"/>
                <w:color w:val="FFFFFF" w:themeColor="background1"/>
                <w:sz w:val="18"/>
                <w:szCs w:val="20"/>
              </w:rPr>
              <w:t xml:space="preserve"> </w:t>
            </w:r>
            <w:r>
              <w:rPr>
                <w:rFonts w:ascii="Arial" w:hAnsi="Arial" w:cs="Arial"/>
                <w:color w:val="FFFFFF" w:themeColor="background1"/>
                <w:sz w:val="18"/>
                <w:szCs w:val="20"/>
              </w:rPr>
              <w:t>2022</w:t>
            </w:r>
          </w:p>
          <w:p w14:paraId="585B1A27" w14:textId="77777777" w:rsidR="00C60BB2" w:rsidRPr="00DE633B" w:rsidRDefault="00C60BB2" w:rsidP="00C60BB2">
            <w:pPr>
              <w:rPr>
                <w:rFonts w:ascii="Arial" w:hAnsi="Arial" w:cs="Arial"/>
                <w:color w:val="FFFFFF" w:themeColor="background1"/>
                <w:sz w:val="18"/>
                <w:szCs w:val="20"/>
              </w:rPr>
            </w:pPr>
          </w:p>
        </w:tc>
        <w:tc>
          <w:tcPr>
            <w:tcW w:w="1165" w:type="dxa"/>
            <w:tcBorders>
              <w:top w:val="none" w:sz="0" w:space="0" w:color="auto"/>
              <w:left w:val="none" w:sz="0" w:space="0" w:color="auto"/>
              <w:bottom w:val="none" w:sz="0" w:space="0" w:color="auto"/>
              <w:right w:val="none" w:sz="0" w:space="0" w:color="auto"/>
            </w:tcBorders>
            <w:shd w:val="clear" w:color="auto" w:fill="17365D" w:themeFill="text2" w:themeFillShade="BF"/>
            <w:vAlign w:val="bottom"/>
          </w:tcPr>
          <w:p w14:paraId="1BC28F61" w14:textId="66B06866" w:rsidR="00C60BB2" w:rsidRDefault="00C60BB2" w:rsidP="00C60BB2">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sidRPr="00DE633B">
              <w:rPr>
                <w:rFonts w:ascii="Arial" w:hAnsi="Arial" w:cs="Arial"/>
                <w:color w:val="FFFFFF" w:themeColor="background1"/>
                <w:sz w:val="18"/>
                <w:szCs w:val="20"/>
              </w:rPr>
              <w:t xml:space="preserve">Dollar </w:t>
            </w:r>
            <w:r>
              <w:rPr>
                <w:rFonts w:ascii="Arial" w:hAnsi="Arial" w:cs="Arial"/>
                <w:color w:val="FFFFFF" w:themeColor="background1"/>
                <w:sz w:val="18"/>
                <w:szCs w:val="20"/>
              </w:rPr>
              <w:br/>
            </w:r>
            <w:r w:rsidRPr="00DE633B">
              <w:rPr>
                <w:rFonts w:ascii="Arial" w:hAnsi="Arial" w:cs="Arial"/>
                <w:color w:val="FFFFFF" w:themeColor="background1"/>
                <w:sz w:val="18"/>
                <w:szCs w:val="20"/>
              </w:rPr>
              <w:t>sales</w:t>
            </w:r>
          </w:p>
        </w:tc>
        <w:tc>
          <w:tcPr>
            <w:tcW w:w="1165" w:type="dxa"/>
            <w:tcBorders>
              <w:top w:val="none" w:sz="0" w:space="0" w:color="auto"/>
              <w:left w:val="none" w:sz="0" w:space="0" w:color="auto"/>
              <w:bottom w:val="none" w:sz="0" w:space="0" w:color="auto"/>
              <w:right w:val="none" w:sz="0" w:space="0" w:color="auto"/>
            </w:tcBorders>
            <w:shd w:val="clear" w:color="auto" w:fill="17365D" w:themeFill="text2" w:themeFillShade="BF"/>
            <w:vAlign w:val="bottom"/>
          </w:tcPr>
          <w:p w14:paraId="12032EBE" w14:textId="18A1FEE7" w:rsidR="00C60BB2" w:rsidRDefault="00C60BB2" w:rsidP="00C60BB2">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sidRPr="00DE633B">
              <w:rPr>
                <w:rFonts w:ascii="Arial" w:hAnsi="Arial" w:cs="Arial"/>
                <w:color w:val="FFFFFF" w:themeColor="background1"/>
                <w:sz w:val="18"/>
                <w:szCs w:val="20"/>
              </w:rPr>
              <w:t>Dollar gains</w:t>
            </w:r>
            <w:r>
              <w:rPr>
                <w:rFonts w:ascii="Arial" w:hAnsi="Arial" w:cs="Arial"/>
                <w:color w:val="FFFFFF" w:themeColor="background1"/>
                <w:sz w:val="18"/>
                <w:szCs w:val="20"/>
              </w:rPr>
              <w:t xml:space="preserve"> </w:t>
            </w:r>
            <w:r>
              <w:rPr>
                <w:rFonts w:ascii="Arial" w:hAnsi="Arial" w:cs="Arial"/>
                <w:color w:val="FFFFFF" w:themeColor="background1"/>
                <w:sz w:val="18"/>
                <w:szCs w:val="20"/>
              </w:rPr>
              <w:br/>
              <w:t>vs. 2021</w:t>
            </w:r>
          </w:p>
        </w:tc>
        <w:tc>
          <w:tcPr>
            <w:tcW w:w="1165" w:type="dxa"/>
            <w:tcBorders>
              <w:top w:val="none" w:sz="0" w:space="0" w:color="auto"/>
              <w:left w:val="none" w:sz="0" w:space="0" w:color="auto"/>
              <w:bottom w:val="none" w:sz="0" w:space="0" w:color="auto"/>
              <w:right w:val="none" w:sz="0" w:space="0" w:color="auto"/>
            </w:tcBorders>
            <w:shd w:val="clear" w:color="auto" w:fill="17365D" w:themeFill="text2" w:themeFillShade="BF"/>
            <w:vAlign w:val="bottom"/>
          </w:tcPr>
          <w:p w14:paraId="1F24F2D6" w14:textId="608114CB" w:rsidR="00C60BB2" w:rsidRDefault="00C60BB2" w:rsidP="00C60BB2">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 xml:space="preserve">Dollar gains </w:t>
            </w:r>
            <w:r>
              <w:rPr>
                <w:rFonts w:ascii="Arial" w:hAnsi="Arial" w:cs="Arial"/>
                <w:color w:val="FFFFFF" w:themeColor="background1"/>
                <w:sz w:val="18"/>
                <w:szCs w:val="20"/>
              </w:rPr>
              <w:br/>
              <w:t>vs. 20</w:t>
            </w:r>
            <w:r w:rsidR="00812051">
              <w:rPr>
                <w:rFonts w:ascii="Arial" w:hAnsi="Arial" w:cs="Arial"/>
                <w:color w:val="FFFFFF" w:themeColor="background1"/>
                <w:sz w:val="18"/>
                <w:szCs w:val="20"/>
              </w:rPr>
              <w:t>19</w:t>
            </w:r>
          </w:p>
        </w:tc>
        <w:tc>
          <w:tcPr>
            <w:tcW w:w="1509" w:type="dxa"/>
            <w:tcBorders>
              <w:top w:val="none" w:sz="0" w:space="0" w:color="auto"/>
              <w:left w:val="none" w:sz="0" w:space="0" w:color="auto"/>
              <w:bottom w:val="none" w:sz="0" w:space="0" w:color="auto"/>
              <w:right w:val="none" w:sz="0" w:space="0" w:color="auto"/>
            </w:tcBorders>
            <w:shd w:val="clear" w:color="auto" w:fill="17365D" w:themeFill="text2" w:themeFillShade="BF"/>
            <w:vAlign w:val="bottom"/>
          </w:tcPr>
          <w:p w14:paraId="3A072BA6" w14:textId="246127BE" w:rsidR="00C60BB2" w:rsidRPr="00DE633B" w:rsidRDefault="00C60BB2" w:rsidP="00C60BB2">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Volume (</w:t>
            </w:r>
            <w:proofErr w:type="spellStart"/>
            <w:r>
              <w:rPr>
                <w:rFonts w:ascii="Arial" w:hAnsi="Arial" w:cs="Arial"/>
                <w:color w:val="FFFFFF" w:themeColor="background1"/>
                <w:sz w:val="18"/>
                <w:szCs w:val="20"/>
              </w:rPr>
              <w:t>lbs</w:t>
            </w:r>
            <w:proofErr w:type="spellEnd"/>
            <w:r>
              <w:rPr>
                <w:rFonts w:ascii="Arial" w:hAnsi="Arial" w:cs="Arial"/>
                <w:color w:val="FFFFFF" w:themeColor="background1"/>
                <w:sz w:val="18"/>
                <w:szCs w:val="20"/>
              </w:rPr>
              <w:t>)</w:t>
            </w:r>
            <w:r>
              <w:rPr>
                <w:rFonts w:ascii="Arial" w:hAnsi="Arial" w:cs="Arial"/>
                <w:color w:val="FFFFFF" w:themeColor="background1"/>
                <w:sz w:val="18"/>
                <w:szCs w:val="20"/>
              </w:rPr>
              <w:br/>
            </w:r>
            <w:r w:rsidRPr="00DE633B">
              <w:rPr>
                <w:rFonts w:ascii="Arial" w:hAnsi="Arial" w:cs="Arial"/>
                <w:color w:val="FFFFFF" w:themeColor="background1"/>
                <w:sz w:val="18"/>
                <w:szCs w:val="20"/>
              </w:rPr>
              <w:t>sales</w:t>
            </w:r>
          </w:p>
        </w:tc>
        <w:tc>
          <w:tcPr>
            <w:tcW w:w="1350" w:type="dxa"/>
            <w:tcBorders>
              <w:top w:val="none" w:sz="0" w:space="0" w:color="auto"/>
              <w:left w:val="none" w:sz="0" w:space="0" w:color="auto"/>
              <w:bottom w:val="none" w:sz="0" w:space="0" w:color="auto"/>
              <w:right w:val="none" w:sz="0" w:space="0" w:color="auto"/>
            </w:tcBorders>
            <w:shd w:val="clear" w:color="auto" w:fill="17365D" w:themeFill="text2" w:themeFillShade="BF"/>
            <w:vAlign w:val="bottom"/>
          </w:tcPr>
          <w:p w14:paraId="40226535" w14:textId="77777777" w:rsidR="00C60BB2" w:rsidRPr="00DE633B" w:rsidRDefault="00C60BB2" w:rsidP="00C60BB2">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 xml:space="preserve">Volume </w:t>
            </w:r>
            <w:r w:rsidRPr="00DE633B">
              <w:rPr>
                <w:rFonts w:ascii="Arial" w:hAnsi="Arial" w:cs="Arial"/>
                <w:color w:val="FFFFFF" w:themeColor="background1"/>
                <w:sz w:val="18"/>
                <w:szCs w:val="20"/>
              </w:rPr>
              <w:t>gains</w:t>
            </w:r>
            <w:r>
              <w:rPr>
                <w:rFonts w:ascii="Arial" w:hAnsi="Arial" w:cs="Arial"/>
                <w:color w:val="FFFFFF" w:themeColor="background1"/>
                <w:sz w:val="18"/>
                <w:szCs w:val="20"/>
              </w:rPr>
              <w:t xml:space="preserve"> </w:t>
            </w:r>
            <w:r>
              <w:rPr>
                <w:rFonts w:ascii="Arial" w:hAnsi="Arial" w:cs="Arial"/>
                <w:color w:val="FFFFFF" w:themeColor="background1"/>
                <w:sz w:val="18"/>
                <w:szCs w:val="20"/>
              </w:rPr>
              <w:br/>
              <w:t>vs. 2021</w:t>
            </w:r>
          </w:p>
        </w:tc>
        <w:tc>
          <w:tcPr>
            <w:tcW w:w="1303" w:type="dxa"/>
            <w:tcBorders>
              <w:top w:val="none" w:sz="0" w:space="0" w:color="auto"/>
              <w:left w:val="none" w:sz="0" w:space="0" w:color="auto"/>
              <w:bottom w:val="none" w:sz="0" w:space="0" w:color="auto"/>
              <w:right w:val="none" w:sz="0" w:space="0" w:color="auto"/>
            </w:tcBorders>
            <w:shd w:val="clear" w:color="auto" w:fill="17365D" w:themeFill="text2" w:themeFillShade="BF"/>
            <w:vAlign w:val="bottom"/>
          </w:tcPr>
          <w:p w14:paraId="02917D4C" w14:textId="0946DF7E" w:rsidR="00C60BB2" w:rsidRPr="00DE633B" w:rsidRDefault="00C60BB2" w:rsidP="00C60BB2">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 xml:space="preserve">Volume gains </w:t>
            </w:r>
            <w:r>
              <w:rPr>
                <w:rFonts w:ascii="Arial" w:hAnsi="Arial" w:cs="Arial"/>
                <w:color w:val="FFFFFF" w:themeColor="background1"/>
                <w:sz w:val="18"/>
                <w:szCs w:val="20"/>
              </w:rPr>
              <w:br/>
              <w:t>vs. 20</w:t>
            </w:r>
            <w:r w:rsidR="00A77082">
              <w:rPr>
                <w:rFonts w:ascii="Arial" w:hAnsi="Arial" w:cs="Arial"/>
                <w:color w:val="FFFFFF" w:themeColor="background1"/>
                <w:sz w:val="18"/>
                <w:szCs w:val="20"/>
              </w:rPr>
              <w:t>19</w:t>
            </w:r>
          </w:p>
        </w:tc>
      </w:tr>
      <w:tr w:rsidR="00C60BB2" w:rsidRPr="00475BB4" w14:paraId="5F23D762" w14:textId="77777777" w:rsidTr="00A7708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24" w:type="dxa"/>
            <w:tcBorders>
              <w:left w:val="none" w:sz="0" w:space="0" w:color="auto"/>
              <w:right w:val="none" w:sz="0" w:space="0" w:color="auto"/>
            </w:tcBorders>
            <w:vAlign w:val="center"/>
          </w:tcPr>
          <w:p w14:paraId="34FB51F9" w14:textId="77777777" w:rsidR="00C60BB2" w:rsidRPr="00FD61F9" w:rsidRDefault="00C60BB2" w:rsidP="006E4977">
            <w:pPr>
              <w:rPr>
                <w:rFonts w:ascii="Arial" w:hAnsi="Arial" w:cs="Arial"/>
                <w:bCs w:val="0"/>
                <w:color w:val="215868" w:themeColor="accent5" w:themeShade="80"/>
                <w:sz w:val="18"/>
                <w:szCs w:val="20"/>
              </w:rPr>
            </w:pPr>
            <w:r w:rsidRPr="00FD61F9">
              <w:rPr>
                <w:rFonts w:ascii="Arial" w:hAnsi="Arial" w:cs="Arial"/>
                <w:bCs w:val="0"/>
                <w:color w:val="215868" w:themeColor="accent5" w:themeShade="80"/>
                <w:sz w:val="18"/>
                <w:szCs w:val="20"/>
              </w:rPr>
              <w:t>Total meat department</w:t>
            </w:r>
          </w:p>
        </w:tc>
        <w:tc>
          <w:tcPr>
            <w:tcW w:w="1165" w:type="dxa"/>
            <w:tcBorders>
              <w:left w:val="none" w:sz="0" w:space="0" w:color="auto"/>
              <w:right w:val="none" w:sz="0" w:space="0" w:color="auto"/>
            </w:tcBorders>
            <w:vAlign w:val="center"/>
          </w:tcPr>
          <w:p w14:paraId="6A790F89" w14:textId="6772D79E" w:rsidR="00C60BB2" w:rsidRPr="00FD61F9" w:rsidRDefault="00C60BB2" w:rsidP="00C60BB2">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20"/>
              </w:rPr>
            </w:pPr>
            <w:r w:rsidRPr="00475BB4">
              <w:rPr>
                <w:rFonts w:ascii="Arial" w:hAnsi="Arial" w:cs="Arial"/>
                <w:b/>
                <w:color w:val="215868" w:themeColor="accent5" w:themeShade="80"/>
                <w:sz w:val="18"/>
                <w:szCs w:val="20"/>
              </w:rPr>
              <w:t>$</w:t>
            </w:r>
            <w:r w:rsidR="00C632A8">
              <w:rPr>
                <w:rFonts w:ascii="Arial" w:hAnsi="Arial" w:cs="Arial"/>
                <w:b/>
                <w:color w:val="215868" w:themeColor="accent5" w:themeShade="80"/>
                <w:sz w:val="18"/>
                <w:szCs w:val="20"/>
              </w:rPr>
              <w:t>6.7</w:t>
            </w:r>
            <w:r w:rsidR="00C84F6D">
              <w:rPr>
                <w:rFonts w:ascii="Arial" w:hAnsi="Arial" w:cs="Arial"/>
                <w:b/>
                <w:color w:val="215868" w:themeColor="accent5" w:themeShade="80"/>
                <w:sz w:val="18"/>
                <w:szCs w:val="20"/>
              </w:rPr>
              <w:t>B</w:t>
            </w:r>
          </w:p>
        </w:tc>
        <w:tc>
          <w:tcPr>
            <w:tcW w:w="1165" w:type="dxa"/>
            <w:tcBorders>
              <w:left w:val="none" w:sz="0" w:space="0" w:color="auto"/>
              <w:right w:val="none" w:sz="0" w:space="0" w:color="auto"/>
            </w:tcBorders>
            <w:vAlign w:val="center"/>
          </w:tcPr>
          <w:p w14:paraId="4155F44E" w14:textId="1BC08D1F" w:rsidR="00C60BB2" w:rsidRPr="00FD61F9" w:rsidRDefault="00965F9E" w:rsidP="00C60BB2">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20"/>
              </w:rPr>
            </w:pPr>
            <w:r>
              <w:rPr>
                <w:rFonts w:ascii="Arial" w:hAnsi="Arial" w:cs="Arial"/>
                <w:b/>
                <w:color w:val="215868" w:themeColor="accent5" w:themeShade="80"/>
                <w:sz w:val="18"/>
                <w:szCs w:val="20"/>
              </w:rPr>
              <w:t>+</w:t>
            </w:r>
            <w:r w:rsidR="00C632A8">
              <w:rPr>
                <w:rFonts w:ascii="Arial" w:hAnsi="Arial" w:cs="Arial"/>
                <w:b/>
                <w:color w:val="215868" w:themeColor="accent5" w:themeShade="80"/>
                <w:sz w:val="18"/>
                <w:szCs w:val="20"/>
              </w:rPr>
              <w:t>4.1</w:t>
            </w:r>
            <w:r w:rsidR="00C60BB2" w:rsidRPr="00475BB4">
              <w:rPr>
                <w:rFonts w:ascii="Arial" w:hAnsi="Arial" w:cs="Arial"/>
                <w:b/>
                <w:color w:val="215868" w:themeColor="accent5" w:themeShade="80"/>
                <w:sz w:val="18"/>
                <w:szCs w:val="20"/>
              </w:rPr>
              <w:t>%</w:t>
            </w:r>
          </w:p>
        </w:tc>
        <w:tc>
          <w:tcPr>
            <w:tcW w:w="1165" w:type="dxa"/>
            <w:tcBorders>
              <w:left w:val="none" w:sz="0" w:space="0" w:color="auto"/>
              <w:right w:val="none" w:sz="0" w:space="0" w:color="auto"/>
            </w:tcBorders>
            <w:vAlign w:val="center"/>
          </w:tcPr>
          <w:p w14:paraId="198A1FA4" w14:textId="7A7974F8" w:rsidR="00C60BB2" w:rsidRPr="00FD61F9" w:rsidRDefault="00812051" w:rsidP="00C60BB2">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20"/>
              </w:rPr>
            </w:pPr>
            <w:r>
              <w:rPr>
                <w:rFonts w:ascii="Arial" w:hAnsi="Arial" w:cs="Arial"/>
                <w:b/>
                <w:color w:val="215868" w:themeColor="accent5" w:themeShade="80"/>
                <w:sz w:val="18"/>
                <w:szCs w:val="20"/>
              </w:rPr>
              <w:t>+</w:t>
            </w:r>
            <w:r w:rsidR="00C632A8">
              <w:rPr>
                <w:rFonts w:ascii="Arial" w:hAnsi="Arial" w:cs="Arial"/>
                <w:b/>
                <w:color w:val="215868" w:themeColor="accent5" w:themeShade="80"/>
                <w:sz w:val="18"/>
                <w:szCs w:val="20"/>
              </w:rPr>
              <w:t>28.4</w:t>
            </w:r>
            <w:r w:rsidR="00C60BB2">
              <w:rPr>
                <w:rFonts w:ascii="Arial" w:hAnsi="Arial" w:cs="Arial"/>
                <w:b/>
                <w:color w:val="215868" w:themeColor="accent5" w:themeShade="80"/>
                <w:sz w:val="18"/>
                <w:szCs w:val="20"/>
              </w:rPr>
              <w:t>%</w:t>
            </w:r>
          </w:p>
        </w:tc>
        <w:tc>
          <w:tcPr>
            <w:tcW w:w="1509" w:type="dxa"/>
            <w:tcBorders>
              <w:left w:val="none" w:sz="0" w:space="0" w:color="auto"/>
              <w:right w:val="none" w:sz="0" w:space="0" w:color="auto"/>
            </w:tcBorders>
            <w:vAlign w:val="center"/>
          </w:tcPr>
          <w:p w14:paraId="28848251" w14:textId="2DC082FA" w:rsidR="00C60BB2" w:rsidRPr="00FD61F9" w:rsidRDefault="00C632A8" w:rsidP="00C60BB2">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20"/>
              </w:rPr>
            </w:pPr>
            <w:r>
              <w:rPr>
                <w:rFonts w:ascii="Arial" w:hAnsi="Arial" w:cs="Arial"/>
                <w:b/>
                <w:color w:val="215868" w:themeColor="accent5" w:themeShade="80"/>
                <w:sz w:val="18"/>
                <w:szCs w:val="20"/>
              </w:rPr>
              <w:t>1.5</w:t>
            </w:r>
            <w:r w:rsidR="00C60BB2" w:rsidRPr="00FD61F9">
              <w:rPr>
                <w:rFonts w:ascii="Arial" w:hAnsi="Arial" w:cs="Arial"/>
                <w:b/>
                <w:color w:val="215868" w:themeColor="accent5" w:themeShade="80"/>
                <w:sz w:val="18"/>
                <w:szCs w:val="20"/>
              </w:rPr>
              <w:t>B</w:t>
            </w:r>
          </w:p>
        </w:tc>
        <w:tc>
          <w:tcPr>
            <w:tcW w:w="1350" w:type="dxa"/>
            <w:tcBorders>
              <w:left w:val="none" w:sz="0" w:space="0" w:color="auto"/>
              <w:right w:val="none" w:sz="0" w:space="0" w:color="auto"/>
            </w:tcBorders>
            <w:vAlign w:val="center"/>
          </w:tcPr>
          <w:p w14:paraId="7E88347D" w14:textId="7D9893E3" w:rsidR="00C60BB2" w:rsidRPr="00FD61F9" w:rsidRDefault="00C60BB2" w:rsidP="00C60BB2">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20"/>
              </w:rPr>
            </w:pPr>
            <w:r>
              <w:rPr>
                <w:rFonts w:ascii="Arial" w:hAnsi="Arial" w:cs="Arial"/>
                <w:b/>
                <w:color w:val="215868" w:themeColor="accent5" w:themeShade="80"/>
                <w:sz w:val="18"/>
                <w:szCs w:val="20"/>
              </w:rPr>
              <w:t>-</w:t>
            </w:r>
            <w:r w:rsidR="00C632A8">
              <w:rPr>
                <w:rFonts w:ascii="Arial" w:hAnsi="Arial" w:cs="Arial"/>
                <w:b/>
                <w:color w:val="215868" w:themeColor="accent5" w:themeShade="80"/>
                <w:sz w:val="18"/>
                <w:szCs w:val="20"/>
              </w:rPr>
              <w:t>2.5</w:t>
            </w:r>
            <w:r w:rsidRPr="00FD61F9">
              <w:rPr>
                <w:rFonts w:ascii="Arial" w:hAnsi="Arial" w:cs="Arial"/>
                <w:b/>
                <w:color w:val="215868" w:themeColor="accent5" w:themeShade="80"/>
                <w:sz w:val="18"/>
                <w:szCs w:val="20"/>
              </w:rPr>
              <w:t>%</w:t>
            </w:r>
          </w:p>
        </w:tc>
        <w:tc>
          <w:tcPr>
            <w:tcW w:w="1303" w:type="dxa"/>
            <w:tcBorders>
              <w:left w:val="none" w:sz="0" w:space="0" w:color="auto"/>
              <w:right w:val="none" w:sz="0" w:space="0" w:color="auto"/>
            </w:tcBorders>
            <w:vAlign w:val="center"/>
          </w:tcPr>
          <w:p w14:paraId="4A52A229" w14:textId="796E6A86" w:rsidR="00C60BB2" w:rsidRPr="00FD61F9" w:rsidRDefault="00C632A8" w:rsidP="00C60BB2">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20"/>
              </w:rPr>
            </w:pPr>
            <w:r>
              <w:rPr>
                <w:rFonts w:ascii="Arial" w:hAnsi="Arial" w:cs="Arial"/>
                <w:b/>
                <w:color w:val="215868" w:themeColor="accent5" w:themeShade="80"/>
                <w:sz w:val="18"/>
                <w:szCs w:val="20"/>
              </w:rPr>
              <w:t>+1.7</w:t>
            </w:r>
            <w:r w:rsidR="00C60BB2" w:rsidRPr="00FD61F9">
              <w:rPr>
                <w:rFonts w:ascii="Arial" w:hAnsi="Arial" w:cs="Arial"/>
                <w:b/>
                <w:color w:val="215868" w:themeColor="accent5" w:themeShade="80"/>
                <w:sz w:val="18"/>
                <w:szCs w:val="20"/>
              </w:rPr>
              <w:t>%</w:t>
            </w:r>
          </w:p>
        </w:tc>
      </w:tr>
      <w:tr w:rsidR="00C84F6D" w:rsidRPr="00787719" w14:paraId="279360C7" w14:textId="77777777" w:rsidTr="00A77082">
        <w:trPr>
          <w:trHeight w:val="255"/>
        </w:trPr>
        <w:tc>
          <w:tcPr>
            <w:cnfStyle w:val="001000000000" w:firstRow="0" w:lastRow="0" w:firstColumn="1" w:lastColumn="0" w:oddVBand="0" w:evenVBand="0" w:oddHBand="0" w:evenHBand="0" w:firstRowFirstColumn="0" w:firstRowLastColumn="0" w:lastRowFirstColumn="0" w:lastRowLastColumn="0"/>
            <w:tcW w:w="2624" w:type="dxa"/>
            <w:vAlign w:val="center"/>
          </w:tcPr>
          <w:p w14:paraId="7D0AB84B" w14:textId="77777777" w:rsidR="00C84F6D" w:rsidRPr="00FD61F9" w:rsidRDefault="00C84F6D" w:rsidP="00C84F6D">
            <w:pPr>
              <w:rPr>
                <w:rFonts w:ascii="Arial" w:hAnsi="Arial" w:cs="Arial"/>
                <w:b w:val="0"/>
                <w:color w:val="215868" w:themeColor="accent5" w:themeShade="80"/>
                <w:sz w:val="18"/>
                <w:szCs w:val="20"/>
              </w:rPr>
            </w:pPr>
            <w:r w:rsidRPr="00FD61F9">
              <w:rPr>
                <w:rFonts w:ascii="Arial" w:hAnsi="Arial" w:cs="Arial"/>
                <w:b w:val="0"/>
                <w:color w:val="215868" w:themeColor="accent5" w:themeShade="80"/>
                <w:sz w:val="18"/>
                <w:szCs w:val="20"/>
              </w:rPr>
              <w:t>Fresh meat</w:t>
            </w:r>
          </w:p>
        </w:tc>
        <w:tc>
          <w:tcPr>
            <w:tcW w:w="1165" w:type="dxa"/>
            <w:vAlign w:val="center"/>
          </w:tcPr>
          <w:p w14:paraId="2AA0C86B" w14:textId="69339F38" w:rsidR="00C84F6D" w:rsidRPr="00C84F6D" w:rsidRDefault="00C84F6D" w:rsidP="00C84F6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20"/>
              </w:rPr>
            </w:pPr>
            <w:r w:rsidRPr="00C84F6D">
              <w:rPr>
                <w:rFonts w:ascii="Arial" w:hAnsi="Arial" w:cs="Arial"/>
                <w:bCs/>
                <w:color w:val="215868" w:themeColor="accent5" w:themeShade="80"/>
                <w:sz w:val="18"/>
                <w:szCs w:val="20"/>
              </w:rPr>
              <w:t>$</w:t>
            </w:r>
            <w:r w:rsidR="00C632A8">
              <w:rPr>
                <w:rFonts w:ascii="Arial" w:hAnsi="Arial" w:cs="Arial"/>
                <w:bCs/>
                <w:color w:val="215868" w:themeColor="accent5" w:themeShade="80"/>
                <w:sz w:val="18"/>
                <w:szCs w:val="20"/>
              </w:rPr>
              <w:t>4.4</w:t>
            </w:r>
            <w:r w:rsidRPr="00C84F6D">
              <w:rPr>
                <w:rFonts w:ascii="Arial" w:hAnsi="Arial" w:cs="Arial"/>
                <w:bCs/>
                <w:color w:val="215868" w:themeColor="accent5" w:themeShade="80"/>
                <w:sz w:val="18"/>
                <w:szCs w:val="20"/>
              </w:rPr>
              <w:t>B</w:t>
            </w:r>
          </w:p>
        </w:tc>
        <w:tc>
          <w:tcPr>
            <w:tcW w:w="1165" w:type="dxa"/>
            <w:vAlign w:val="center"/>
          </w:tcPr>
          <w:p w14:paraId="75358324" w14:textId="67440918" w:rsidR="00C84F6D" w:rsidRPr="00C84F6D" w:rsidRDefault="00C84F6D" w:rsidP="00C84F6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20"/>
              </w:rPr>
            </w:pPr>
            <w:r w:rsidRPr="00C84F6D">
              <w:rPr>
                <w:rFonts w:ascii="Arial" w:hAnsi="Arial" w:cs="Arial"/>
                <w:bCs/>
                <w:color w:val="215868" w:themeColor="accent5" w:themeShade="80"/>
                <w:sz w:val="18"/>
                <w:szCs w:val="20"/>
              </w:rPr>
              <w:t>+</w:t>
            </w:r>
            <w:r w:rsidR="00C632A8">
              <w:rPr>
                <w:rFonts w:ascii="Arial" w:hAnsi="Arial" w:cs="Arial"/>
                <w:bCs/>
                <w:color w:val="215868" w:themeColor="accent5" w:themeShade="80"/>
                <w:sz w:val="18"/>
                <w:szCs w:val="20"/>
              </w:rPr>
              <w:t>2.2</w:t>
            </w:r>
            <w:r w:rsidRPr="00C84F6D">
              <w:rPr>
                <w:rFonts w:ascii="Arial" w:hAnsi="Arial" w:cs="Arial"/>
                <w:bCs/>
                <w:color w:val="215868" w:themeColor="accent5" w:themeShade="80"/>
                <w:sz w:val="18"/>
                <w:szCs w:val="20"/>
              </w:rPr>
              <w:t>%</w:t>
            </w:r>
          </w:p>
        </w:tc>
        <w:tc>
          <w:tcPr>
            <w:tcW w:w="1165" w:type="dxa"/>
            <w:vAlign w:val="center"/>
          </w:tcPr>
          <w:p w14:paraId="20F4E6DA" w14:textId="574FC5B6" w:rsidR="00C84F6D" w:rsidRPr="00C84F6D" w:rsidRDefault="00C84F6D" w:rsidP="00C84F6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20"/>
              </w:rPr>
            </w:pPr>
            <w:r w:rsidRPr="00C84F6D">
              <w:rPr>
                <w:rFonts w:ascii="Arial" w:hAnsi="Arial" w:cs="Arial"/>
                <w:bCs/>
                <w:color w:val="215868" w:themeColor="accent5" w:themeShade="80"/>
                <w:sz w:val="18"/>
                <w:szCs w:val="20"/>
              </w:rPr>
              <w:t>+</w:t>
            </w:r>
            <w:r w:rsidR="00C632A8">
              <w:rPr>
                <w:rFonts w:ascii="Arial" w:hAnsi="Arial" w:cs="Arial"/>
                <w:bCs/>
                <w:color w:val="215868" w:themeColor="accent5" w:themeShade="80"/>
                <w:sz w:val="18"/>
                <w:szCs w:val="20"/>
              </w:rPr>
              <w:t>28.1</w:t>
            </w:r>
            <w:r w:rsidRPr="00C84F6D">
              <w:rPr>
                <w:rFonts w:ascii="Arial" w:hAnsi="Arial" w:cs="Arial"/>
                <w:bCs/>
                <w:color w:val="215868" w:themeColor="accent5" w:themeShade="80"/>
                <w:sz w:val="18"/>
                <w:szCs w:val="20"/>
              </w:rPr>
              <w:t>%</w:t>
            </w:r>
          </w:p>
        </w:tc>
        <w:tc>
          <w:tcPr>
            <w:tcW w:w="1509" w:type="dxa"/>
            <w:vAlign w:val="center"/>
          </w:tcPr>
          <w:p w14:paraId="1F4D1274" w14:textId="00D532F7" w:rsidR="00C84F6D" w:rsidRPr="00C84F6D" w:rsidRDefault="00C632A8" w:rsidP="00C84F6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20"/>
              </w:rPr>
            </w:pPr>
            <w:r>
              <w:rPr>
                <w:rFonts w:ascii="Arial" w:hAnsi="Arial" w:cs="Arial"/>
                <w:bCs/>
                <w:color w:val="215868" w:themeColor="accent5" w:themeShade="80"/>
                <w:sz w:val="18"/>
                <w:szCs w:val="20"/>
              </w:rPr>
              <w:t>1.0</w:t>
            </w:r>
            <w:r w:rsidR="005C4B0B">
              <w:rPr>
                <w:rFonts w:ascii="Arial" w:hAnsi="Arial" w:cs="Arial"/>
                <w:bCs/>
                <w:color w:val="215868" w:themeColor="accent5" w:themeShade="80"/>
                <w:sz w:val="18"/>
                <w:szCs w:val="20"/>
              </w:rPr>
              <w:t>M</w:t>
            </w:r>
          </w:p>
        </w:tc>
        <w:tc>
          <w:tcPr>
            <w:tcW w:w="1350" w:type="dxa"/>
            <w:vAlign w:val="center"/>
          </w:tcPr>
          <w:p w14:paraId="6AC9B3B2" w14:textId="695A2968" w:rsidR="00C84F6D" w:rsidRPr="00C84F6D" w:rsidRDefault="00C84F6D" w:rsidP="00C84F6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20"/>
              </w:rPr>
            </w:pPr>
            <w:r w:rsidRPr="00C84F6D">
              <w:rPr>
                <w:rFonts w:ascii="Arial" w:hAnsi="Arial" w:cs="Arial"/>
                <w:bCs/>
                <w:color w:val="215868" w:themeColor="accent5" w:themeShade="80"/>
                <w:sz w:val="18"/>
                <w:szCs w:val="20"/>
              </w:rPr>
              <w:t>-</w:t>
            </w:r>
            <w:r w:rsidR="00C632A8">
              <w:rPr>
                <w:rFonts w:ascii="Arial" w:hAnsi="Arial" w:cs="Arial"/>
                <w:bCs/>
                <w:color w:val="215868" w:themeColor="accent5" w:themeShade="80"/>
                <w:sz w:val="18"/>
                <w:szCs w:val="20"/>
              </w:rPr>
              <w:t>2.4</w:t>
            </w:r>
            <w:r w:rsidRPr="00C84F6D">
              <w:rPr>
                <w:rFonts w:ascii="Arial" w:hAnsi="Arial" w:cs="Arial"/>
                <w:bCs/>
                <w:color w:val="215868" w:themeColor="accent5" w:themeShade="80"/>
                <w:sz w:val="18"/>
                <w:szCs w:val="20"/>
              </w:rPr>
              <w:t>%</w:t>
            </w:r>
          </w:p>
        </w:tc>
        <w:tc>
          <w:tcPr>
            <w:tcW w:w="1303" w:type="dxa"/>
            <w:vAlign w:val="center"/>
          </w:tcPr>
          <w:p w14:paraId="56FF9F69" w14:textId="1860765D" w:rsidR="00C84F6D" w:rsidRPr="00C84F6D" w:rsidRDefault="00C632A8" w:rsidP="00C84F6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20"/>
              </w:rPr>
            </w:pPr>
            <w:r>
              <w:rPr>
                <w:rFonts w:ascii="Arial" w:hAnsi="Arial" w:cs="Arial"/>
                <w:bCs/>
                <w:color w:val="215868" w:themeColor="accent5" w:themeShade="80"/>
                <w:sz w:val="18"/>
                <w:szCs w:val="20"/>
              </w:rPr>
              <w:t>+1.6</w:t>
            </w:r>
            <w:r w:rsidR="00C84F6D" w:rsidRPr="00C84F6D">
              <w:rPr>
                <w:rFonts w:ascii="Arial" w:hAnsi="Arial" w:cs="Arial"/>
                <w:bCs/>
                <w:color w:val="215868" w:themeColor="accent5" w:themeShade="80"/>
                <w:sz w:val="18"/>
                <w:szCs w:val="20"/>
              </w:rPr>
              <w:t>%</w:t>
            </w:r>
          </w:p>
        </w:tc>
      </w:tr>
      <w:tr w:rsidR="00C84F6D" w:rsidRPr="00787719" w14:paraId="16F19493" w14:textId="77777777" w:rsidTr="00A7708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24" w:type="dxa"/>
            <w:tcBorders>
              <w:left w:val="none" w:sz="0" w:space="0" w:color="auto"/>
              <w:right w:val="none" w:sz="0" w:space="0" w:color="auto"/>
            </w:tcBorders>
            <w:vAlign w:val="center"/>
          </w:tcPr>
          <w:p w14:paraId="5BF47FC4" w14:textId="77777777" w:rsidR="00C84F6D" w:rsidRPr="00FD61F9" w:rsidRDefault="00C84F6D" w:rsidP="00C84F6D">
            <w:pPr>
              <w:rPr>
                <w:rFonts w:ascii="Arial" w:hAnsi="Arial" w:cs="Arial"/>
                <w:b w:val="0"/>
                <w:color w:val="215868" w:themeColor="accent5" w:themeShade="80"/>
                <w:sz w:val="18"/>
                <w:szCs w:val="20"/>
              </w:rPr>
            </w:pPr>
            <w:r w:rsidRPr="00FD61F9">
              <w:rPr>
                <w:rFonts w:ascii="Arial" w:hAnsi="Arial" w:cs="Arial"/>
                <w:b w:val="0"/>
                <w:color w:val="215868" w:themeColor="accent5" w:themeShade="80"/>
                <w:sz w:val="18"/>
                <w:szCs w:val="20"/>
              </w:rPr>
              <w:t>Processed meat</w:t>
            </w:r>
          </w:p>
        </w:tc>
        <w:tc>
          <w:tcPr>
            <w:tcW w:w="1165" w:type="dxa"/>
            <w:tcBorders>
              <w:left w:val="none" w:sz="0" w:space="0" w:color="auto"/>
              <w:right w:val="none" w:sz="0" w:space="0" w:color="auto"/>
            </w:tcBorders>
            <w:vAlign w:val="center"/>
          </w:tcPr>
          <w:p w14:paraId="03805C8D" w14:textId="6736FE03" w:rsidR="00C84F6D" w:rsidRPr="00C84F6D" w:rsidRDefault="00C84F6D"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20"/>
              </w:rPr>
            </w:pPr>
            <w:r w:rsidRPr="00C84F6D">
              <w:rPr>
                <w:rFonts w:ascii="Arial" w:hAnsi="Arial" w:cs="Arial"/>
                <w:bCs/>
                <w:color w:val="215868" w:themeColor="accent5" w:themeShade="80"/>
                <w:sz w:val="18"/>
                <w:szCs w:val="20"/>
              </w:rPr>
              <w:t>$</w:t>
            </w:r>
            <w:r w:rsidR="00C632A8">
              <w:rPr>
                <w:rFonts w:ascii="Arial" w:hAnsi="Arial" w:cs="Arial"/>
                <w:bCs/>
                <w:color w:val="215868" w:themeColor="accent5" w:themeShade="80"/>
                <w:sz w:val="18"/>
                <w:szCs w:val="20"/>
              </w:rPr>
              <w:t>2.2</w:t>
            </w:r>
            <w:r w:rsidRPr="00C84F6D">
              <w:rPr>
                <w:rFonts w:ascii="Arial" w:hAnsi="Arial" w:cs="Arial"/>
                <w:bCs/>
                <w:color w:val="215868" w:themeColor="accent5" w:themeShade="80"/>
                <w:sz w:val="18"/>
                <w:szCs w:val="20"/>
              </w:rPr>
              <w:t>B</w:t>
            </w:r>
          </w:p>
        </w:tc>
        <w:tc>
          <w:tcPr>
            <w:tcW w:w="1165" w:type="dxa"/>
            <w:tcBorders>
              <w:left w:val="none" w:sz="0" w:space="0" w:color="auto"/>
              <w:right w:val="none" w:sz="0" w:space="0" w:color="auto"/>
            </w:tcBorders>
            <w:vAlign w:val="center"/>
          </w:tcPr>
          <w:p w14:paraId="6E6B38E7" w14:textId="7A6E8740" w:rsidR="00C84F6D" w:rsidRPr="00C84F6D" w:rsidRDefault="00C84F6D"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20"/>
              </w:rPr>
            </w:pPr>
            <w:r w:rsidRPr="00C84F6D">
              <w:rPr>
                <w:rFonts w:ascii="Arial" w:hAnsi="Arial" w:cs="Arial"/>
                <w:bCs/>
                <w:color w:val="215868" w:themeColor="accent5" w:themeShade="80"/>
                <w:sz w:val="18"/>
                <w:szCs w:val="20"/>
              </w:rPr>
              <w:t>+</w:t>
            </w:r>
            <w:r w:rsidR="00C632A8">
              <w:rPr>
                <w:rFonts w:ascii="Arial" w:hAnsi="Arial" w:cs="Arial"/>
                <w:bCs/>
                <w:color w:val="215868" w:themeColor="accent5" w:themeShade="80"/>
                <w:sz w:val="18"/>
                <w:szCs w:val="20"/>
              </w:rPr>
              <w:t>8.1</w:t>
            </w:r>
            <w:r w:rsidRPr="00C84F6D">
              <w:rPr>
                <w:rFonts w:ascii="Arial" w:hAnsi="Arial" w:cs="Arial"/>
                <w:bCs/>
                <w:color w:val="215868" w:themeColor="accent5" w:themeShade="80"/>
                <w:sz w:val="18"/>
                <w:szCs w:val="20"/>
              </w:rPr>
              <w:t>%</w:t>
            </w:r>
          </w:p>
        </w:tc>
        <w:tc>
          <w:tcPr>
            <w:tcW w:w="1165" w:type="dxa"/>
            <w:tcBorders>
              <w:left w:val="none" w:sz="0" w:space="0" w:color="auto"/>
              <w:right w:val="none" w:sz="0" w:space="0" w:color="auto"/>
            </w:tcBorders>
            <w:vAlign w:val="center"/>
          </w:tcPr>
          <w:p w14:paraId="2272F227" w14:textId="76EA3669" w:rsidR="00C84F6D" w:rsidRPr="00C84F6D" w:rsidRDefault="00C84F6D"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20"/>
              </w:rPr>
            </w:pPr>
            <w:r w:rsidRPr="00C84F6D">
              <w:rPr>
                <w:rFonts w:ascii="Arial" w:hAnsi="Arial" w:cs="Arial"/>
                <w:bCs/>
                <w:color w:val="215868" w:themeColor="accent5" w:themeShade="80"/>
                <w:sz w:val="18"/>
                <w:szCs w:val="20"/>
              </w:rPr>
              <w:t>+</w:t>
            </w:r>
            <w:r w:rsidR="00C632A8">
              <w:rPr>
                <w:rFonts w:ascii="Arial" w:hAnsi="Arial" w:cs="Arial"/>
                <w:bCs/>
                <w:color w:val="215868" w:themeColor="accent5" w:themeShade="80"/>
                <w:sz w:val="18"/>
                <w:szCs w:val="20"/>
              </w:rPr>
              <w:t>29.0</w:t>
            </w:r>
            <w:r w:rsidRPr="00C84F6D">
              <w:rPr>
                <w:rFonts w:ascii="Arial" w:hAnsi="Arial" w:cs="Arial"/>
                <w:bCs/>
                <w:color w:val="215868" w:themeColor="accent5" w:themeShade="80"/>
                <w:sz w:val="18"/>
                <w:szCs w:val="20"/>
              </w:rPr>
              <w:t>%</w:t>
            </w:r>
          </w:p>
        </w:tc>
        <w:tc>
          <w:tcPr>
            <w:tcW w:w="1509" w:type="dxa"/>
            <w:tcBorders>
              <w:left w:val="none" w:sz="0" w:space="0" w:color="auto"/>
              <w:right w:val="none" w:sz="0" w:space="0" w:color="auto"/>
            </w:tcBorders>
            <w:vAlign w:val="center"/>
          </w:tcPr>
          <w:p w14:paraId="4DD67B5D" w14:textId="74B13CDC" w:rsidR="00C84F6D" w:rsidRPr="00C84F6D" w:rsidRDefault="00C632A8"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20"/>
              </w:rPr>
            </w:pPr>
            <w:r>
              <w:rPr>
                <w:rFonts w:ascii="Arial" w:hAnsi="Arial" w:cs="Arial"/>
                <w:bCs/>
                <w:color w:val="215868" w:themeColor="accent5" w:themeShade="80"/>
                <w:sz w:val="18"/>
                <w:szCs w:val="20"/>
              </w:rPr>
              <w:t>0.4</w:t>
            </w:r>
            <w:r w:rsidR="00F07020">
              <w:rPr>
                <w:rFonts w:ascii="Arial" w:hAnsi="Arial" w:cs="Arial"/>
                <w:bCs/>
                <w:color w:val="215868" w:themeColor="accent5" w:themeShade="80"/>
                <w:sz w:val="18"/>
                <w:szCs w:val="20"/>
              </w:rPr>
              <w:t>M</w:t>
            </w:r>
          </w:p>
        </w:tc>
        <w:tc>
          <w:tcPr>
            <w:tcW w:w="1350" w:type="dxa"/>
            <w:tcBorders>
              <w:left w:val="none" w:sz="0" w:space="0" w:color="auto"/>
              <w:right w:val="none" w:sz="0" w:space="0" w:color="auto"/>
            </w:tcBorders>
            <w:vAlign w:val="center"/>
          </w:tcPr>
          <w:p w14:paraId="38476D9C" w14:textId="5B96D9B7" w:rsidR="00C84F6D" w:rsidRPr="00C84F6D" w:rsidRDefault="00C84F6D"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20"/>
              </w:rPr>
            </w:pPr>
            <w:r w:rsidRPr="00C84F6D">
              <w:rPr>
                <w:rFonts w:ascii="Arial" w:hAnsi="Arial" w:cs="Arial"/>
                <w:bCs/>
                <w:color w:val="215868" w:themeColor="accent5" w:themeShade="80"/>
                <w:sz w:val="18"/>
                <w:szCs w:val="20"/>
              </w:rPr>
              <w:t>-</w:t>
            </w:r>
            <w:r w:rsidR="00C632A8">
              <w:rPr>
                <w:rFonts w:ascii="Arial" w:hAnsi="Arial" w:cs="Arial"/>
                <w:bCs/>
                <w:color w:val="215868" w:themeColor="accent5" w:themeShade="80"/>
                <w:sz w:val="18"/>
                <w:szCs w:val="20"/>
              </w:rPr>
              <w:t>2.6</w:t>
            </w:r>
            <w:r w:rsidRPr="00C84F6D">
              <w:rPr>
                <w:rFonts w:ascii="Arial" w:hAnsi="Arial" w:cs="Arial"/>
                <w:bCs/>
                <w:color w:val="215868" w:themeColor="accent5" w:themeShade="80"/>
                <w:sz w:val="18"/>
                <w:szCs w:val="20"/>
              </w:rPr>
              <w:t>%</w:t>
            </w:r>
          </w:p>
        </w:tc>
        <w:tc>
          <w:tcPr>
            <w:tcW w:w="1303" w:type="dxa"/>
            <w:tcBorders>
              <w:left w:val="none" w:sz="0" w:space="0" w:color="auto"/>
              <w:right w:val="none" w:sz="0" w:space="0" w:color="auto"/>
            </w:tcBorders>
            <w:vAlign w:val="center"/>
          </w:tcPr>
          <w:p w14:paraId="2744D6CF" w14:textId="01401DE6" w:rsidR="00C84F6D" w:rsidRPr="00C84F6D" w:rsidRDefault="00C632A8"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20"/>
              </w:rPr>
            </w:pPr>
            <w:r>
              <w:rPr>
                <w:rFonts w:ascii="Arial" w:hAnsi="Arial" w:cs="Arial"/>
                <w:bCs/>
                <w:color w:val="215868" w:themeColor="accent5" w:themeShade="80"/>
                <w:sz w:val="18"/>
                <w:szCs w:val="20"/>
              </w:rPr>
              <w:t>+1.9</w:t>
            </w:r>
            <w:r w:rsidR="00C84F6D" w:rsidRPr="00C84F6D">
              <w:rPr>
                <w:rFonts w:ascii="Arial" w:hAnsi="Arial" w:cs="Arial"/>
                <w:bCs/>
                <w:color w:val="215868" w:themeColor="accent5" w:themeShade="80"/>
                <w:sz w:val="18"/>
                <w:szCs w:val="20"/>
              </w:rPr>
              <w:t>%</w:t>
            </w:r>
          </w:p>
        </w:tc>
      </w:tr>
    </w:tbl>
    <w:p w14:paraId="4CDD88EB" w14:textId="77777777" w:rsidR="00F220D0" w:rsidRPr="008A1AD9" w:rsidRDefault="00F220D0" w:rsidP="00F220D0">
      <w:pPr>
        <w:pStyle w:val="NoSpacing"/>
        <w:rPr>
          <w:rFonts w:ascii="Arial" w:hAnsi="Arial" w:cs="Arial"/>
          <w:sz w:val="6"/>
          <w:szCs w:val="6"/>
        </w:rPr>
      </w:pPr>
    </w:p>
    <w:p w14:paraId="69DA7E14" w14:textId="4ECE3174" w:rsidR="00F220D0" w:rsidRDefault="00F220D0" w:rsidP="00F220D0">
      <w:pPr>
        <w:pStyle w:val="NoSpacing"/>
        <w:rPr>
          <w:rFonts w:ascii="Arial" w:hAnsi="Arial" w:cs="Arial"/>
          <w:sz w:val="16"/>
          <w:szCs w:val="16"/>
        </w:rPr>
      </w:pPr>
      <w:r>
        <w:rPr>
          <w:rFonts w:ascii="Arial" w:hAnsi="Arial" w:cs="Arial"/>
          <w:sz w:val="16"/>
          <w:szCs w:val="16"/>
        </w:rPr>
        <w:t>Source: IRI, Integrated Fresh, Total US, MULO</w:t>
      </w:r>
    </w:p>
    <w:p w14:paraId="7E23B5E1" w14:textId="77777777" w:rsidR="00443ECC" w:rsidRDefault="00443ECC" w:rsidP="00232287">
      <w:pPr>
        <w:shd w:val="clear" w:color="auto" w:fill="FFFFFF"/>
        <w:spacing w:after="0" w:line="240" w:lineRule="auto"/>
        <w:rPr>
          <w:rFonts w:ascii="Arial" w:hAnsi="Arial" w:cs="Arial"/>
          <w:sz w:val="20"/>
          <w:szCs w:val="20"/>
        </w:rPr>
      </w:pPr>
    </w:p>
    <w:p w14:paraId="3B05792A" w14:textId="68A06A1F" w:rsidR="00010FAD" w:rsidRDefault="00C632A8" w:rsidP="00435D29">
      <w:pPr>
        <w:pStyle w:val="NoSpacing"/>
        <w:rPr>
          <w:rFonts w:ascii="Arial" w:hAnsi="Arial" w:cs="Arial"/>
          <w:sz w:val="20"/>
          <w:szCs w:val="20"/>
        </w:rPr>
      </w:pPr>
      <w:r>
        <w:rPr>
          <w:rFonts w:ascii="Arial" w:hAnsi="Arial" w:cs="Arial"/>
          <w:sz w:val="20"/>
          <w:szCs w:val="20"/>
        </w:rPr>
        <w:t xml:space="preserve">The down August performance was offset by the much better September performance to average out the third quarter on a positive note. Volume sales remained at 2019 levels while dollars were 26% higher. </w:t>
      </w:r>
    </w:p>
    <w:p w14:paraId="5C0626FC" w14:textId="139B10FF" w:rsidR="00946E94" w:rsidRDefault="00946E94" w:rsidP="00F4461F">
      <w:pPr>
        <w:spacing w:after="0" w:line="240" w:lineRule="auto"/>
        <w:rPr>
          <w:noProof/>
        </w:rPr>
      </w:pPr>
    </w:p>
    <w:p w14:paraId="3EE7CFD8" w14:textId="76D4F33E" w:rsidR="00812051" w:rsidRDefault="00C632A8" w:rsidP="00F4461F">
      <w:pPr>
        <w:spacing w:after="0" w:line="240" w:lineRule="auto"/>
        <w:rPr>
          <w:noProof/>
        </w:rPr>
      </w:pPr>
      <w:r>
        <w:rPr>
          <w:noProof/>
        </w:rPr>
        <w:lastRenderedPageBreak/>
        <w:drawing>
          <wp:inline distT="0" distB="0" distL="0" distR="0" wp14:anchorId="628481EA" wp14:editId="55B23074">
            <wp:extent cx="6391275" cy="3168015"/>
            <wp:effectExtent l="0" t="0" r="0" b="0"/>
            <wp:docPr id="1" name="Chart 1">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126C82" w14:textId="46E546B5" w:rsidR="00946E94" w:rsidRDefault="00946E94" w:rsidP="00946E94">
      <w:pPr>
        <w:pStyle w:val="NoSpacing"/>
        <w:rPr>
          <w:rFonts w:ascii="Arial" w:hAnsi="Arial" w:cs="Arial"/>
          <w:sz w:val="16"/>
          <w:szCs w:val="16"/>
        </w:rPr>
      </w:pPr>
      <w:r w:rsidRPr="00E23819">
        <w:rPr>
          <w:rFonts w:ascii="Arial" w:hAnsi="Arial" w:cs="Arial"/>
          <w:sz w:val="16"/>
          <w:szCs w:val="16"/>
        </w:rPr>
        <w:t xml:space="preserve">Source: IRI, </w:t>
      </w:r>
      <w:r>
        <w:rPr>
          <w:rFonts w:ascii="Arial" w:hAnsi="Arial" w:cs="Arial"/>
          <w:sz w:val="16"/>
          <w:szCs w:val="16"/>
        </w:rPr>
        <w:t xml:space="preserve">Integrated Fresh, </w:t>
      </w:r>
      <w:r w:rsidRPr="00E23819">
        <w:rPr>
          <w:rFonts w:ascii="Arial" w:hAnsi="Arial" w:cs="Arial"/>
          <w:sz w:val="16"/>
          <w:szCs w:val="16"/>
        </w:rPr>
        <w:t>MULO</w:t>
      </w:r>
    </w:p>
    <w:p w14:paraId="64D6796D" w14:textId="77777777" w:rsidR="003A19B8" w:rsidRDefault="003A19B8" w:rsidP="00946E94">
      <w:pPr>
        <w:pStyle w:val="NoSpacing"/>
        <w:rPr>
          <w:rFonts w:ascii="Arial" w:hAnsi="Arial" w:cs="Arial"/>
          <w:sz w:val="16"/>
          <w:szCs w:val="16"/>
        </w:rPr>
      </w:pPr>
    </w:p>
    <w:p w14:paraId="02AFF6A6" w14:textId="3395F933" w:rsidR="001D42B8" w:rsidRDefault="001D42B8" w:rsidP="00946E94">
      <w:pPr>
        <w:pStyle w:val="NoSpacing"/>
        <w:rPr>
          <w:rFonts w:ascii="Arial" w:hAnsi="Arial" w:cs="Arial"/>
          <w:sz w:val="16"/>
          <w:szCs w:val="16"/>
        </w:rPr>
      </w:pPr>
    </w:p>
    <w:p w14:paraId="7B831515" w14:textId="3BEC986B" w:rsidR="001D42B8" w:rsidRPr="00383D77" w:rsidRDefault="001D42B8" w:rsidP="001D42B8">
      <w:pPr>
        <w:pStyle w:val="NoSpacing"/>
        <w:rPr>
          <w:rFonts w:ascii="Arial" w:hAnsi="Arial" w:cs="Arial"/>
          <w:b/>
          <w:color w:val="595959" w:themeColor="text1" w:themeTint="A6"/>
          <w:sz w:val="24"/>
          <w:szCs w:val="24"/>
        </w:rPr>
      </w:pPr>
      <w:r w:rsidRPr="00383D77">
        <w:rPr>
          <w:rFonts w:ascii="Arial" w:hAnsi="Arial" w:cs="Arial"/>
          <w:b/>
          <w:color w:val="595959" w:themeColor="text1" w:themeTint="A6"/>
          <w:sz w:val="24"/>
          <w:szCs w:val="24"/>
        </w:rPr>
        <w:t>Assortment</w:t>
      </w:r>
    </w:p>
    <w:p w14:paraId="6ECCB0E0" w14:textId="15E0CB75" w:rsidR="001D42B8" w:rsidRDefault="00C632A8" w:rsidP="001D42B8">
      <w:pPr>
        <w:spacing w:after="0" w:line="240" w:lineRule="auto"/>
        <w:rPr>
          <w:rFonts w:ascii="Arial" w:hAnsi="Arial" w:cs="Arial"/>
          <w:sz w:val="20"/>
          <w:szCs w:val="20"/>
        </w:rPr>
      </w:pPr>
      <w:r>
        <w:rPr>
          <w:rFonts w:ascii="Arial" w:hAnsi="Arial" w:cs="Arial"/>
          <w:sz w:val="20"/>
          <w:szCs w:val="20"/>
        </w:rPr>
        <w:t xml:space="preserve">The much stronger sales results were achieved despite an even tighter assortment. In September 2022, assortment dropped to an average of 523 items per store — a new low. Year-on-year, this was a 2.1% decrease but items dropped 5.9% below 2019 levels. </w:t>
      </w:r>
      <w:r w:rsidR="00C24CC4">
        <w:rPr>
          <w:rFonts w:ascii="Arial" w:hAnsi="Arial" w:cs="Arial"/>
          <w:sz w:val="20"/>
          <w:szCs w:val="20"/>
        </w:rPr>
        <w:t xml:space="preserve">The biggest loss </w:t>
      </w:r>
      <w:r>
        <w:rPr>
          <w:rFonts w:ascii="Arial" w:hAnsi="Arial" w:cs="Arial"/>
          <w:sz w:val="20"/>
          <w:szCs w:val="20"/>
        </w:rPr>
        <w:t>wa</w:t>
      </w:r>
      <w:r w:rsidR="00C24CC4">
        <w:rPr>
          <w:rFonts w:ascii="Arial" w:hAnsi="Arial" w:cs="Arial"/>
          <w:sz w:val="20"/>
          <w:szCs w:val="20"/>
        </w:rPr>
        <w:t xml:space="preserve">s seen in processed items that </w:t>
      </w:r>
      <w:r>
        <w:rPr>
          <w:rFonts w:ascii="Arial" w:hAnsi="Arial" w:cs="Arial"/>
          <w:sz w:val="20"/>
          <w:szCs w:val="20"/>
        </w:rPr>
        <w:t>we</w:t>
      </w:r>
      <w:r w:rsidR="00C24CC4">
        <w:rPr>
          <w:rFonts w:ascii="Arial" w:hAnsi="Arial" w:cs="Arial"/>
          <w:sz w:val="20"/>
          <w:szCs w:val="20"/>
        </w:rPr>
        <w:t>re down to 3</w:t>
      </w:r>
      <w:r>
        <w:rPr>
          <w:rFonts w:ascii="Arial" w:hAnsi="Arial" w:cs="Arial"/>
          <w:sz w:val="20"/>
          <w:szCs w:val="20"/>
        </w:rPr>
        <w:t>31</w:t>
      </w:r>
      <w:r w:rsidR="00C24CC4">
        <w:rPr>
          <w:rFonts w:ascii="Arial" w:hAnsi="Arial" w:cs="Arial"/>
          <w:sz w:val="20"/>
          <w:szCs w:val="20"/>
        </w:rPr>
        <w:t xml:space="preserve"> items, </w:t>
      </w:r>
      <w:r>
        <w:rPr>
          <w:rFonts w:ascii="Arial" w:hAnsi="Arial" w:cs="Arial"/>
          <w:sz w:val="20"/>
          <w:szCs w:val="20"/>
        </w:rPr>
        <w:t>9.1</w:t>
      </w:r>
      <w:r w:rsidR="00C24CC4">
        <w:rPr>
          <w:rFonts w:ascii="Arial" w:hAnsi="Arial" w:cs="Arial"/>
          <w:sz w:val="20"/>
          <w:szCs w:val="20"/>
        </w:rPr>
        <w:t>%</w:t>
      </w:r>
      <w:r>
        <w:rPr>
          <w:rFonts w:ascii="Arial" w:hAnsi="Arial" w:cs="Arial"/>
          <w:sz w:val="20"/>
          <w:szCs w:val="20"/>
        </w:rPr>
        <w:t xml:space="preserve"> fewer when compared to</w:t>
      </w:r>
      <w:r w:rsidR="00C24CC4">
        <w:rPr>
          <w:rFonts w:ascii="Arial" w:hAnsi="Arial" w:cs="Arial"/>
          <w:sz w:val="20"/>
          <w:szCs w:val="20"/>
        </w:rPr>
        <w:t xml:space="preserve"> pre-pandemic. </w:t>
      </w:r>
    </w:p>
    <w:p w14:paraId="3DAA7118" w14:textId="77777777" w:rsidR="001D42B8" w:rsidRPr="00C36D0B" w:rsidRDefault="001D42B8" w:rsidP="001D42B8">
      <w:pPr>
        <w:pStyle w:val="NoSpacing"/>
        <w:rPr>
          <w:rFonts w:ascii="Arial" w:hAnsi="Arial" w:cs="Arial"/>
          <w:sz w:val="10"/>
          <w:szCs w:val="10"/>
        </w:rPr>
      </w:pPr>
    </w:p>
    <w:tbl>
      <w:tblPr>
        <w:tblStyle w:val="LightShading-Accent5"/>
        <w:tblW w:w="10065" w:type="dxa"/>
        <w:tblBorders>
          <w:top w:val="none" w:sz="0" w:space="0" w:color="auto"/>
          <w:bottom w:val="none" w:sz="0" w:space="0" w:color="auto"/>
        </w:tblBorders>
        <w:tblLook w:val="04A0" w:firstRow="1" w:lastRow="0" w:firstColumn="1" w:lastColumn="0" w:noHBand="0" w:noVBand="1"/>
      </w:tblPr>
      <w:tblGrid>
        <w:gridCol w:w="1264"/>
        <w:gridCol w:w="84"/>
        <w:gridCol w:w="709"/>
        <w:gridCol w:w="912"/>
        <w:gridCol w:w="912"/>
        <w:gridCol w:w="967"/>
        <w:gridCol w:w="967"/>
        <w:gridCol w:w="912"/>
        <w:gridCol w:w="912"/>
        <w:gridCol w:w="795"/>
        <w:gridCol w:w="769"/>
        <w:gridCol w:w="862"/>
      </w:tblGrid>
      <w:tr w:rsidR="00A11196" w14:paraId="156AE0C7" w14:textId="207E4BBC" w:rsidTr="00A1119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48" w:type="dxa"/>
            <w:gridSpan w:val="2"/>
            <w:tcBorders>
              <w:top w:val="none" w:sz="0" w:space="0" w:color="auto"/>
              <w:left w:val="none" w:sz="0" w:space="0" w:color="auto"/>
              <w:bottom w:val="none" w:sz="0" w:space="0" w:color="auto"/>
              <w:right w:val="none" w:sz="0" w:space="0" w:color="auto"/>
            </w:tcBorders>
            <w:shd w:val="clear" w:color="auto" w:fill="17365D" w:themeFill="text2" w:themeFillShade="BF"/>
          </w:tcPr>
          <w:p w14:paraId="4EC178F7" w14:textId="77777777" w:rsidR="00A11196" w:rsidRDefault="00A11196" w:rsidP="00736BE7">
            <w:pPr>
              <w:pStyle w:val="NoSpacing"/>
              <w:tabs>
                <w:tab w:val="left" w:pos="591"/>
                <w:tab w:val="center" w:pos="3761"/>
              </w:tabs>
              <w:rPr>
                <w:rFonts w:ascii="Arial" w:hAnsi="Arial" w:cs="Arial"/>
                <w:color w:val="FFFFFF" w:themeColor="background1"/>
                <w:sz w:val="18"/>
                <w:szCs w:val="20"/>
              </w:rPr>
            </w:pPr>
            <w:r>
              <w:br w:type="page"/>
            </w:r>
          </w:p>
        </w:tc>
        <w:tc>
          <w:tcPr>
            <w:tcW w:w="6291" w:type="dxa"/>
            <w:gridSpan w:val="7"/>
            <w:tcBorders>
              <w:top w:val="none" w:sz="0" w:space="0" w:color="auto"/>
              <w:left w:val="none" w:sz="0" w:space="0" w:color="auto"/>
              <w:bottom w:val="none" w:sz="0" w:space="0" w:color="auto"/>
              <w:right w:val="none" w:sz="0" w:space="0" w:color="auto"/>
            </w:tcBorders>
            <w:shd w:val="clear" w:color="auto" w:fill="17365D" w:themeFill="text2" w:themeFillShade="BF"/>
          </w:tcPr>
          <w:p w14:paraId="6F4A6E00" w14:textId="77777777" w:rsidR="00A11196" w:rsidRDefault="00A11196" w:rsidP="00736BE7">
            <w:pPr>
              <w:pStyle w:val="NoSpacing"/>
              <w:tabs>
                <w:tab w:val="left" w:pos="591"/>
                <w:tab w:val="center" w:pos="3761"/>
              </w:tabs>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ab/>
            </w:r>
            <w:r>
              <w:rPr>
                <w:rFonts w:ascii="Arial" w:hAnsi="Arial" w:cs="Arial"/>
                <w:color w:val="FFFFFF" w:themeColor="background1"/>
                <w:sz w:val="18"/>
                <w:szCs w:val="20"/>
              </w:rPr>
              <w:tab/>
              <w:t>Average meat department items per store selling for …</w:t>
            </w:r>
          </w:p>
        </w:tc>
        <w:tc>
          <w:tcPr>
            <w:tcW w:w="795" w:type="dxa"/>
            <w:tcBorders>
              <w:top w:val="none" w:sz="0" w:space="0" w:color="auto"/>
              <w:left w:val="none" w:sz="0" w:space="0" w:color="auto"/>
              <w:bottom w:val="none" w:sz="0" w:space="0" w:color="auto"/>
              <w:right w:val="none" w:sz="0" w:space="0" w:color="auto"/>
            </w:tcBorders>
            <w:shd w:val="clear" w:color="auto" w:fill="17365D" w:themeFill="text2" w:themeFillShade="BF"/>
          </w:tcPr>
          <w:p w14:paraId="281A5F83" w14:textId="77777777" w:rsidR="00A11196" w:rsidRDefault="00A11196" w:rsidP="00736BE7">
            <w:pPr>
              <w:pStyle w:val="NoSpacing"/>
              <w:tabs>
                <w:tab w:val="left" w:pos="591"/>
                <w:tab w:val="center" w:pos="3761"/>
              </w:tabs>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p>
        </w:tc>
        <w:tc>
          <w:tcPr>
            <w:tcW w:w="769" w:type="dxa"/>
            <w:tcBorders>
              <w:top w:val="none" w:sz="0" w:space="0" w:color="auto"/>
              <w:left w:val="none" w:sz="0" w:space="0" w:color="auto"/>
              <w:bottom w:val="none" w:sz="0" w:space="0" w:color="auto"/>
              <w:right w:val="none" w:sz="0" w:space="0" w:color="auto"/>
            </w:tcBorders>
            <w:shd w:val="clear" w:color="auto" w:fill="17365D" w:themeFill="text2" w:themeFillShade="BF"/>
          </w:tcPr>
          <w:p w14:paraId="73C31106" w14:textId="77777777" w:rsidR="00A11196" w:rsidRDefault="00A11196" w:rsidP="00736BE7">
            <w:pPr>
              <w:pStyle w:val="NoSpacing"/>
              <w:tabs>
                <w:tab w:val="left" w:pos="591"/>
                <w:tab w:val="center" w:pos="3761"/>
              </w:tabs>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p>
        </w:tc>
        <w:tc>
          <w:tcPr>
            <w:tcW w:w="862" w:type="dxa"/>
            <w:tcBorders>
              <w:top w:val="none" w:sz="0" w:space="0" w:color="auto"/>
              <w:left w:val="none" w:sz="0" w:space="0" w:color="auto"/>
              <w:bottom w:val="none" w:sz="0" w:space="0" w:color="auto"/>
              <w:right w:val="none" w:sz="0" w:space="0" w:color="auto"/>
            </w:tcBorders>
            <w:shd w:val="clear" w:color="auto" w:fill="17365D" w:themeFill="text2" w:themeFillShade="BF"/>
          </w:tcPr>
          <w:p w14:paraId="282C39E6" w14:textId="1AE8E5C2" w:rsidR="00A11196" w:rsidRDefault="00A11196" w:rsidP="00736BE7">
            <w:pPr>
              <w:pStyle w:val="NoSpacing"/>
              <w:tabs>
                <w:tab w:val="left" w:pos="591"/>
                <w:tab w:val="center" w:pos="3761"/>
              </w:tabs>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p>
        </w:tc>
      </w:tr>
      <w:tr w:rsidR="00A11196" w14:paraId="378AF6F6" w14:textId="43B5F4C9" w:rsidTr="00A111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4" w:type="dxa"/>
            <w:tcBorders>
              <w:left w:val="none" w:sz="0" w:space="0" w:color="auto"/>
              <w:right w:val="none" w:sz="0" w:space="0" w:color="auto"/>
            </w:tcBorders>
            <w:shd w:val="clear" w:color="auto" w:fill="17365D" w:themeFill="text2" w:themeFillShade="BF"/>
            <w:vAlign w:val="center"/>
          </w:tcPr>
          <w:p w14:paraId="403DDFA0" w14:textId="77777777" w:rsidR="00A11196" w:rsidRPr="00E23819" w:rsidRDefault="00A11196" w:rsidP="00B46C10">
            <w:pPr>
              <w:pStyle w:val="NoSpacing"/>
              <w:jc w:val="right"/>
              <w:rPr>
                <w:rFonts w:ascii="Arial" w:hAnsi="Arial" w:cs="Arial"/>
                <w:color w:val="FFFFFF" w:themeColor="background1"/>
                <w:sz w:val="18"/>
                <w:szCs w:val="20"/>
              </w:rPr>
            </w:pPr>
          </w:p>
        </w:tc>
        <w:tc>
          <w:tcPr>
            <w:tcW w:w="793" w:type="dxa"/>
            <w:gridSpan w:val="2"/>
            <w:tcBorders>
              <w:left w:val="none" w:sz="0" w:space="0" w:color="auto"/>
              <w:right w:val="none" w:sz="0" w:space="0" w:color="auto"/>
            </w:tcBorders>
            <w:shd w:val="clear" w:color="auto" w:fill="17365D" w:themeFill="text2" w:themeFillShade="BF"/>
            <w:vAlign w:val="center"/>
          </w:tcPr>
          <w:p w14:paraId="20B8D2D8" w14:textId="77777777" w:rsidR="00A11196" w:rsidRPr="00FF4A07" w:rsidRDefault="00A11196" w:rsidP="00B46C10">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2019</w:t>
            </w:r>
          </w:p>
        </w:tc>
        <w:tc>
          <w:tcPr>
            <w:tcW w:w="912" w:type="dxa"/>
            <w:tcBorders>
              <w:left w:val="none" w:sz="0" w:space="0" w:color="auto"/>
              <w:right w:val="none" w:sz="0" w:space="0" w:color="auto"/>
            </w:tcBorders>
            <w:shd w:val="clear" w:color="auto" w:fill="17365D" w:themeFill="text2" w:themeFillShade="BF"/>
            <w:vAlign w:val="center"/>
          </w:tcPr>
          <w:p w14:paraId="6D7D7A83" w14:textId="77777777" w:rsidR="00A11196" w:rsidRPr="00FF4A07" w:rsidRDefault="00A11196" w:rsidP="00B46C10">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2020</w:t>
            </w:r>
          </w:p>
        </w:tc>
        <w:tc>
          <w:tcPr>
            <w:tcW w:w="912" w:type="dxa"/>
            <w:tcBorders>
              <w:left w:val="none" w:sz="0" w:space="0" w:color="auto"/>
              <w:right w:val="none" w:sz="0" w:space="0" w:color="auto"/>
            </w:tcBorders>
            <w:shd w:val="clear" w:color="auto" w:fill="17365D" w:themeFill="text2" w:themeFillShade="BF"/>
            <w:vAlign w:val="center"/>
          </w:tcPr>
          <w:p w14:paraId="01D1EFD3" w14:textId="77777777" w:rsidR="00A11196" w:rsidRDefault="00A11196" w:rsidP="00B46C10">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 21</w:t>
            </w:r>
          </w:p>
        </w:tc>
        <w:tc>
          <w:tcPr>
            <w:tcW w:w="967" w:type="dxa"/>
            <w:tcBorders>
              <w:left w:val="none" w:sz="0" w:space="0" w:color="auto"/>
              <w:right w:val="none" w:sz="0" w:space="0" w:color="auto"/>
            </w:tcBorders>
            <w:shd w:val="clear" w:color="auto" w:fill="17365D" w:themeFill="text2" w:themeFillShade="BF"/>
            <w:vAlign w:val="center"/>
          </w:tcPr>
          <w:p w14:paraId="6DEA2B6B" w14:textId="72862D3C" w:rsidR="00A11196" w:rsidRDefault="00A11196" w:rsidP="00B46C10">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21</w:t>
            </w:r>
          </w:p>
        </w:tc>
        <w:tc>
          <w:tcPr>
            <w:tcW w:w="967" w:type="dxa"/>
            <w:tcBorders>
              <w:left w:val="none" w:sz="0" w:space="0" w:color="auto"/>
              <w:right w:val="none" w:sz="0" w:space="0" w:color="auto"/>
            </w:tcBorders>
            <w:shd w:val="clear" w:color="auto" w:fill="17365D" w:themeFill="text2" w:themeFillShade="BF"/>
            <w:vAlign w:val="center"/>
          </w:tcPr>
          <w:p w14:paraId="4B90A9CC" w14:textId="77777777" w:rsidR="00A11196" w:rsidRDefault="00A11196" w:rsidP="00B46C10">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21</w:t>
            </w:r>
          </w:p>
        </w:tc>
        <w:tc>
          <w:tcPr>
            <w:tcW w:w="912" w:type="dxa"/>
            <w:tcBorders>
              <w:left w:val="none" w:sz="0" w:space="0" w:color="auto"/>
              <w:right w:val="none" w:sz="0" w:space="0" w:color="auto"/>
            </w:tcBorders>
            <w:shd w:val="clear" w:color="auto" w:fill="17365D" w:themeFill="text2" w:themeFillShade="BF"/>
            <w:vAlign w:val="center"/>
          </w:tcPr>
          <w:p w14:paraId="07CEE6AE" w14:textId="77777777" w:rsidR="00A11196" w:rsidRDefault="00A11196" w:rsidP="00B46C10">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Q4 21</w:t>
            </w:r>
          </w:p>
        </w:tc>
        <w:tc>
          <w:tcPr>
            <w:tcW w:w="912" w:type="dxa"/>
            <w:tcBorders>
              <w:left w:val="none" w:sz="0" w:space="0" w:color="auto"/>
              <w:right w:val="none" w:sz="0" w:space="0" w:color="auto"/>
            </w:tcBorders>
            <w:shd w:val="clear" w:color="auto" w:fill="17365D" w:themeFill="text2" w:themeFillShade="BF"/>
            <w:vAlign w:val="center"/>
          </w:tcPr>
          <w:p w14:paraId="27746672" w14:textId="5D210A94" w:rsidR="00A11196" w:rsidRDefault="00A11196" w:rsidP="00B46C10">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 22</w:t>
            </w:r>
          </w:p>
        </w:tc>
        <w:tc>
          <w:tcPr>
            <w:tcW w:w="795" w:type="dxa"/>
            <w:tcBorders>
              <w:left w:val="none" w:sz="0" w:space="0" w:color="auto"/>
              <w:right w:val="none" w:sz="0" w:space="0" w:color="auto"/>
            </w:tcBorders>
            <w:shd w:val="clear" w:color="auto" w:fill="17365D" w:themeFill="text2" w:themeFillShade="BF"/>
            <w:vAlign w:val="center"/>
          </w:tcPr>
          <w:p w14:paraId="19074D0E" w14:textId="694DB160" w:rsidR="00A11196" w:rsidRDefault="00A11196" w:rsidP="000A5C0C">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22</w:t>
            </w:r>
          </w:p>
        </w:tc>
        <w:tc>
          <w:tcPr>
            <w:tcW w:w="769" w:type="dxa"/>
            <w:tcBorders>
              <w:left w:val="none" w:sz="0" w:space="0" w:color="auto"/>
              <w:right w:val="none" w:sz="0" w:space="0" w:color="auto"/>
            </w:tcBorders>
            <w:shd w:val="clear" w:color="auto" w:fill="17365D" w:themeFill="text2" w:themeFillShade="BF"/>
            <w:vAlign w:val="center"/>
          </w:tcPr>
          <w:p w14:paraId="15FE888E" w14:textId="3962D3E8" w:rsidR="00A11196" w:rsidRDefault="00A11196" w:rsidP="00A1119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22</w:t>
            </w:r>
          </w:p>
        </w:tc>
        <w:tc>
          <w:tcPr>
            <w:tcW w:w="862" w:type="dxa"/>
            <w:tcBorders>
              <w:left w:val="none" w:sz="0" w:space="0" w:color="auto"/>
              <w:right w:val="none" w:sz="0" w:space="0" w:color="auto"/>
            </w:tcBorders>
            <w:shd w:val="clear" w:color="auto" w:fill="17365D" w:themeFill="text2" w:themeFillShade="BF"/>
            <w:vAlign w:val="center"/>
          </w:tcPr>
          <w:p w14:paraId="367CA0C1" w14:textId="1D71134F" w:rsidR="00A11196" w:rsidRDefault="00A11196" w:rsidP="00B46C10">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Sep 22</w:t>
            </w:r>
          </w:p>
        </w:tc>
      </w:tr>
      <w:tr w:rsidR="00A11196" w:rsidRPr="00752B13" w14:paraId="5AC6947B" w14:textId="662FEEDE" w:rsidTr="00A11196">
        <w:trPr>
          <w:trHeight w:val="288"/>
        </w:trPr>
        <w:tc>
          <w:tcPr>
            <w:cnfStyle w:val="001000000000" w:firstRow="0" w:lastRow="0" w:firstColumn="1" w:lastColumn="0" w:oddVBand="0" w:evenVBand="0" w:oddHBand="0" w:evenHBand="0" w:firstRowFirstColumn="0" w:firstRowLastColumn="0" w:lastRowFirstColumn="0" w:lastRowLastColumn="0"/>
            <w:tcW w:w="1264" w:type="dxa"/>
            <w:shd w:val="clear" w:color="auto" w:fill="DBE5F1" w:themeFill="accent1" w:themeFillTint="33"/>
            <w:vAlign w:val="center"/>
          </w:tcPr>
          <w:p w14:paraId="69310325" w14:textId="77777777" w:rsidR="00A11196" w:rsidRPr="000F21EC" w:rsidRDefault="00A11196" w:rsidP="00C37BCB">
            <w:pPr>
              <w:jc w:val="right"/>
              <w:rPr>
                <w:rFonts w:ascii="Arial" w:hAnsi="Arial" w:cs="Arial"/>
                <w:b w:val="0"/>
                <w:color w:val="215868" w:themeColor="accent5" w:themeShade="80"/>
                <w:sz w:val="18"/>
              </w:rPr>
            </w:pPr>
            <w:r w:rsidRPr="000F21EC">
              <w:rPr>
                <w:rFonts w:ascii="Arial" w:hAnsi="Arial" w:cs="Arial"/>
                <w:b w:val="0"/>
                <w:color w:val="215868" w:themeColor="accent5" w:themeShade="80"/>
                <w:sz w:val="18"/>
              </w:rPr>
              <w:t>Total meat</w:t>
            </w:r>
          </w:p>
        </w:tc>
        <w:tc>
          <w:tcPr>
            <w:tcW w:w="793" w:type="dxa"/>
            <w:gridSpan w:val="2"/>
            <w:shd w:val="clear" w:color="auto" w:fill="DBE5F1" w:themeFill="accent1" w:themeFillTint="33"/>
            <w:vAlign w:val="center"/>
          </w:tcPr>
          <w:p w14:paraId="1852A319" w14:textId="77777777" w:rsidR="00A11196" w:rsidRPr="000F21EC" w:rsidRDefault="00A11196" w:rsidP="000A5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sidRPr="000F21EC">
              <w:rPr>
                <w:rFonts w:ascii="Arial" w:hAnsi="Arial" w:cs="Arial"/>
                <w:color w:val="215868" w:themeColor="accent5" w:themeShade="80"/>
                <w:sz w:val="18"/>
                <w:szCs w:val="20"/>
              </w:rPr>
              <w:t>565</w:t>
            </w:r>
          </w:p>
        </w:tc>
        <w:tc>
          <w:tcPr>
            <w:tcW w:w="912" w:type="dxa"/>
            <w:shd w:val="clear" w:color="auto" w:fill="DBE5F1" w:themeFill="accent1" w:themeFillTint="33"/>
            <w:vAlign w:val="center"/>
          </w:tcPr>
          <w:p w14:paraId="3547A4D7" w14:textId="77777777" w:rsidR="00A11196" w:rsidRPr="000F21EC" w:rsidRDefault="00A11196" w:rsidP="000A5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537</w:t>
            </w:r>
          </w:p>
        </w:tc>
        <w:tc>
          <w:tcPr>
            <w:tcW w:w="912" w:type="dxa"/>
            <w:shd w:val="clear" w:color="auto" w:fill="DBE5F1" w:themeFill="accent1" w:themeFillTint="33"/>
            <w:vAlign w:val="center"/>
          </w:tcPr>
          <w:p w14:paraId="188B8CC5" w14:textId="77777777" w:rsidR="00A11196" w:rsidRPr="000F21EC" w:rsidRDefault="00A11196" w:rsidP="000A5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sidRPr="000F21EC">
              <w:rPr>
                <w:rFonts w:ascii="Arial" w:hAnsi="Arial" w:cs="Arial"/>
                <w:color w:val="215868" w:themeColor="accent5" w:themeShade="80"/>
                <w:sz w:val="18"/>
                <w:szCs w:val="20"/>
              </w:rPr>
              <w:t>545</w:t>
            </w:r>
          </w:p>
        </w:tc>
        <w:tc>
          <w:tcPr>
            <w:tcW w:w="967" w:type="dxa"/>
            <w:shd w:val="clear" w:color="auto" w:fill="DBE5F1" w:themeFill="accent1" w:themeFillTint="33"/>
            <w:vAlign w:val="center"/>
          </w:tcPr>
          <w:p w14:paraId="3CA4320A" w14:textId="77777777" w:rsidR="00A11196" w:rsidRPr="000F21EC" w:rsidRDefault="00A11196" w:rsidP="000A5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552</w:t>
            </w:r>
          </w:p>
        </w:tc>
        <w:tc>
          <w:tcPr>
            <w:tcW w:w="967" w:type="dxa"/>
            <w:shd w:val="clear" w:color="auto" w:fill="DBE5F1" w:themeFill="accent1" w:themeFillTint="33"/>
            <w:vAlign w:val="center"/>
          </w:tcPr>
          <w:p w14:paraId="0220869F" w14:textId="77777777" w:rsidR="00A11196" w:rsidRPr="000F21EC" w:rsidRDefault="00A11196" w:rsidP="000A5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541</w:t>
            </w:r>
          </w:p>
        </w:tc>
        <w:tc>
          <w:tcPr>
            <w:tcW w:w="912" w:type="dxa"/>
            <w:shd w:val="clear" w:color="auto" w:fill="DBE5F1" w:themeFill="accent1" w:themeFillTint="33"/>
            <w:vAlign w:val="center"/>
          </w:tcPr>
          <w:p w14:paraId="34D94533" w14:textId="77777777" w:rsidR="00A11196" w:rsidRPr="000F21EC" w:rsidRDefault="00A11196" w:rsidP="000A5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538</w:t>
            </w:r>
          </w:p>
        </w:tc>
        <w:tc>
          <w:tcPr>
            <w:tcW w:w="912" w:type="dxa"/>
            <w:shd w:val="clear" w:color="auto" w:fill="DBE5F1" w:themeFill="accent1" w:themeFillTint="33"/>
            <w:vAlign w:val="center"/>
          </w:tcPr>
          <w:p w14:paraId="0E407B4B" w14:textId="31F01AEC" w:rsidR="00A11196" w:rsidRPr="000F21EC" w:rsidRDefault="00A11196" w:rsidP="000A5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527</w:t>
            </w:r>
          </w:p>
        </w:tc>
        <w:tc>
          <w:tcPr>
            <w:tcW w:w="795" w:type="dxa"/>
            <w:shd w:val="clear" w:color="auto" w:fill="DBE5F1" w:themeFill="accent1" w:themeFillTint="33"/>
            <w:vAlign w:val="center"/>
          </w:tcPr>
          <w:p w14:paraId="234D09B9" w14:textId="6C032DFB" w:rsidR="00A11196" w:rsidRDefault="00A11196" w:rsidP="000A5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536</w:t>
            </w:r>
          </w:p>
        </w:tc>
        <w:tc>
          <w:tcPr>
            <w:tcW w:w="769" w:type="dxa"/>
            <w:shd w:val="clear" w:color="auto" w:fill="DBE5F1" w:themeFill="accent1" w:themeFillTint="33"/>
            <w:vAlign w:val="center"/>
          </w:tcPr>
          <w:p w14:paraId="2B8DB018" w14:textId="59CB1E44" w:rsidR="00A11196" w:rsidRDefault="00C632A8"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528</w:t>
            </w:r>
          </w:p>
        </w:tc>
        <w:tc>
          <w:tcPr>
            <w:tcW w:w="862" w:type="dxa"/>
            <w:shd w:val="clear" w:color="auto" w:fill="DBE5F1" w:themeFill="accent1" w:themeFillTint="33"/>
            <w:vAlign w:val="center"/>
          </w:tcPr>
          <w:p w14:paraId="57EBA3EC" w14:textId="31441414" w:rsidR="00A11196" w:rsidRDefault="00C632A8" w:rsidP="000A5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523</w:t>
            </w:r>
          </w:p>
        </w:tc>
      </w:tr>
      <w:tr w:rsidR="00A11196" w:rsidRPr="00752B13" w14:paraId="45D95AB2" w14:textId="05FC7672" w:rsidTr="00A11196">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264" w:type="dxa"/>
            <w:tcBorders>
              <w:left w:val="none" w:sz="0" w:space="0" w:color="auto"/>
              <w:right w:val="none" w:sz="0" w:space="0" w:color="auto"/>
            </w:tcBorders>
            <w:shd w:val="clear" w:color="auto" w:fill="FFFFFF" w:themeFill="background1"/>
            <w:vAlign w:val="center"/>
          </w:tcPr>
          <w:p w14:paraId="0F3B2148" w14:textId="15996EE4" w:rsidR="00A11196" w:rsidRPr="000F21EC" w:rsidRDefault="00A11196" w:rsidP="00C37BCB">
            <w:pPr>
              <w:jc w:val="right"/>
              <w:rPr>
                <w:rFonts w:ascii="Arial" w:hAnsi="Arial" w:cs="Arial"/>
                <w:b w:val="0"/>
                <w:color w:val="215868" w:themeColor="accent5" w:themeShade="80"/>
                <w:sz w:val="18"/>
              </w:rPr>
            </w:pPr>
            <w:r w:rsidRPr="000F21EC">
              <w:rPr>
                <w:rFonts w:ascii="Arial" w:hAnsi="Arial" w:cs="Arial"/>
                <w:b w:val="0"/>
                <w:color w:val="215868" w:themeColor="accent5" w:themeShade="80"/>
                <w:sz w:val="18"/>
              </w:rPr>
              <w:t>Change vs. YA</w:t>
            </w:r>
          </w:p>
        </w:tc>
        <w:tc>
          <w:tcPr>
            <w:tcW w:w="793" w:type="dxa"/>
            <w:gridSpan w:val="2"/>
            <w:tcBorders>
              <w:left w:val="none" w:sz="0" w:space="0" w:color="auto"/>
              <w:right w:val="none" w:sz="0" w:space="0" w:color="auto"/>
            </w:tcBorders>
            <w:shd w:val="clear" w:color="auto" w:fill="FFFFFF" w:themeFill="background1"/>
            <w:vAlign w:val="center"/>
          </w:tcPr>
          <w:p w14:paraId="6A787E87" w14:textId="77777777" w:rsidR="00A11196" w:rsidRPr="000F21EC" w:rsidRDefault="00A11196" w:rsidP="000A5C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-1.0</w:t>
            </w:r>
            <w:r w:rsidRPr="000F21EC">
              <w:rPr>
                <w:rFonts w:ascii="Arial" w:hAnsi="Arial" w:cs="Arial"/>
                <w:color w:val="215868" w:themeColor="accent5" w:themeShade="80"/>
                <w:sz w:val="18"/>
                <w:szCs w:val="18"/>
              </w:rPr>
              <w:t>%</w:t>
            </w:r>
          </w:p>
        </w:tc>
        <w:tc>
          <w:tcPr>
            <w:tcW w:w="912" w:type="dxa"/>
            <w:tcBorders>
              <w:left w:val="none" w:sz="0" w:space="0" w:color="auto"/>
              <w:right w:val="none" w:sz="0" w:space="0" w:color="auto"/>
            </w:tcBorders>
            <w:shd w:val="clear" w:color="auto" w:fill="FFFFFF" w:themeFill="background1"/>
            <w:vAlign w:val="center"/>
          </w:tcPr>
          <w:p w14:paraId="2B9AE3CD" w14:textId="77777777" w:rsidR="00A11196" w:rsidRPr="000F21EC" w:rsidRDefault="00A11196" w:rsidP="000A5C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-4.9</w:t>
            </w:r>
            <w:r w:rsidRPr="000F21EC">
              <w:rPr>
                <w:rFonts w:ascii="Arial" w:hAnsi="Arial" w:cs="Arial"/>
                <w:color w:val="215868" w:themeColor="accent5" w:themeShade="80"/>
                <w:sz w:val="18"/>
                <w:szCs w:val="18"/>
              </w:rPr>
              <w:t>%</w:t>
            </w:r>
          </w:p>
        </w:tc>
        <w:tc>
          <w:tcPr>
            <w:tcW w:w="912" w:type="dxa"/>
            <w:tcBorders>
              <w:left w:val="none" w:sz="0" w:space="0" w:color="auto"/>
              <w:right w:val="none" w:sz="0" w:space="0" w:color="auto"/>
            </w:tcBorders>
            <w:shd w:val="clear" w:color="auto" w:fill="FFFFFF" w:themeFill="background1"/>
            <w:vAlign w:val="center"/>
          </w:tcPr>
          <w:p w14:paraId="7021F262" w14:textId="77777777" w:rsidR="00A11196" w:rsidRPr="000F21EC" w:rsidRDefault="00A11196" w:rsidP="000A5C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F21EC">
              <w:rPr>
                <w:rFonts w:ascii="Arial" w:hAnsi="Arial" w:cs="Arial"/>
                <w:color w:val="215868" w:themeColor="accent5" w:themeShade="80"/>
                <w:sz w:val="18"/>
                <w:szCs w:val="18"/>
              </w:rPr>
              <w:t>-2.</w:t>
            </w:r>
            <w:r>
              <w:rPr>
                <w:rFonts w:ascii="Arial" w:hAnsi="Arial" w:cs="Arial"/>
                <w:color w:val="215868" w:themeColor="accent5" w:themeShade="80"/>
                <w:sz w:val="18"/>
                <w:szCs w:val="18"/>
              </w:rPr>
              <w:t>6</w:t>
            </w:r>
            <w:r w:rsidRPr="000F21EC">
              <w:rPr>
                <w:rFonts w:ascii="Arial" w:hAnsi="Arial" w:cs="Arial"/>
                <w:color w:val="215868" w:themeColor="accent5" w:themeShade="80"/>
                <w:sz w:val="18"/>
                <w:szCs w:val="18"/>
              </w:rPr>
              <w:t>%</w:t>
            </w:r>
          </w:p>
        </w:tc>
        <w:tc>
          <w:tcPr>
            <w:tcW w:w="967" w:type="dxa"/>
            <w:tcBorders>
              <w:left w:val="none" w:sz="0" w:space="0" w:color="auto"/>
              <w:right w:val="none" w:sz="0" w:space="0" w:color="auto"/>
            </w:tcBorders>
            <w:shd w:val="clear" w:color="auto" w:fill="FFFFFF" w:themeFill="background1"/>
            <w:vAlign w:val="center"/>
          </w:tcPr>
          <w:p w14:paraId="615C7B4E" w14:textId="77777777" w:rsidR="00A11196" w:rsidRPr="000F21EC" w:rsidRDefault="00A11196" w:rsidP="000A5C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+6.7</w:t>
            </w:r>
            <w:r w:rsidRPr="000F21EC">
              <w:rPr>
                <w:rFonts w:ascii="Arial" w:hAnsi="Arial" w:cs="Arial"/>
                <w:color w:val="215868" w:themeColor="accent5" w:themeShade="80"/>
                <w:sz w:val="18"/>
                <w:szCs w:val="18"/>
              </w:rPr>
              <w:t>%</w:t>
            </w:r>
          </w:p>
        </w:tc>
        <w:tc>
          <w:tcPr>
            <w:tcW w:w="967" w:type="dxa"/>
            <w:tcBorders>
              <w:left w:val="none" w:sz="0" w:space="0" w:color="auto"/>
              <w:right w:val="none" w:sz="0" w:space="0" w:color="auto"/>
            </w:tcBorders>
            <w:shd w:val="clear" w:color="auto" w:fill="FFFFFF" w:themeFill="background1"/>
            <w:vAlign w:val="center"/>
          </w:tcPr>
          <w:p w14:paraId="33F35A25" w14:textId="77777777" w:rsidR="00A11196" w:rsidRPr="000F21EC" w:rsidRDefault="00A11196" w:rsidP="000A5C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F21EC">
              <w:rPr>
                <w:rFonts w:ascii="Arial" w:hAnsi="Arial" w:cs="Arial"/>
                <w:color w:val="215868" w:themeColor="accent5" w:themeShade="80"/>
                <w:sz w:val="18"/>
                <w:szCs w:val="18"/>
              </w:rPr>
              <w:t>+2.</w:t>
            </w:r>
            <w:r>
              <w:rPr>
                <w:rFonts w:ascii="Arial" w:hAnsi="Arial" w:cs="Arial"/>
                <w:color w:val="215868" w:themeColor="accent5" w:themeShade="80"/>
                <w:sz w:val="18"/>
                <w:szCs w:val="18"/>
              </w:rPr>
              <w:t>5</w:t>
            </w:r>
            <w:r w:rsidRPr="000F21EC">
              <w:rPr>
                <w:rFonts w:ascii="Arial" w:hAnsi="Arial" w:cs="Arial"/>
                <w:color w:val="215868" w:themeColor="accent5" w:themeShade="80"/>
                <w:sz w:val="18"/>
                <w:szCs w:val="18"/>
              </w:rPr>
              <w:t>%</w:t>
            </w:r>
          </w:p>
        </w:tc>
        <w:tc>
          <w:tcPr>
            <w:tcW w:w="912" w:type="dxa"/>
            <w:tcBorders>
              <w:left w:val="none" w:sz="0" w:space="0" w:color="auto"/>
              <w:right w:val="none" w:sz="0" w:space="0" w:color="auto"/>
            </w:tcBorders>
            <w:shd w:val="clear" w:color="auto" w:fill="FFFFFF" w:themeFill="background1"/>
            <w:vAlign w:val="center"/>
          </w:tcPr>
          <w:p w14:paraId="19D60C1E" w14:textId="77777777" w:rsidR="00A11196" w:rsidRPr="000F21EC" w:rsidRDefault="00A11196" w:rsidP="000A5C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-1.5</w:t>
            </w:r>
            <w:r w:rsidRPr="000F21EC">
              <w:rPr>
                <w:rFonts w:ascii="Arial" w:hAnsi="Arial" w:cs="Arial"/>
                <w:color w:val="215868" w:themeColor="accent5" w:themeShade="80"/>
                <w:sz w:val="18"/>
                <w:szCs w:val="18"/>
              </w:rPr>
              <w:t>%</w:t>
            </w:r>
          </w:p>
        </w:tc>
        <w:tc>
          <w:tcPr>
            <w:tcW w:w="912" w:type="dxa"/>
            <w:tcBorders>
              <w:left w:val="none" w:sz="0" w:space="0" w:color="auto"/>
              <w:right w:val="none" w:sz="0" w:space="0" w:color="auto"/>
            </w:tcBorders>
            <w:shd w:val="clear" w:color="auto" w:fill="FFFFFF" w:themeFill="background1"/>
            <w:vAlign w:val="center"/>
          </w:tcPr>
          <w:p w14:paraId="439BAA19" w14:textId="1597702B" w:rsidR="00A11196" w:rsidRPr="000F21EC" w:rsidRDefault="00A11196" w:rsidP="000A5C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-3.2</w:t>
            </w:r>
            <w:r w:rsidRPr="000F21EC">
              <w:rPr>
                <w:rFonts w:ascii="Arial" w:hAnsi="Arial" w:cs="Arial"/>
                <w:color w:val="215868" w:themeColor="accent5" w:themeShade="80"/>
                <w:sz w:val="18"/>
                <w:szCs w:val="18"/>
              </w:rPr>
              <w:t>%</w:t>
            </w:r>
          </w:p>
        </w:tc>
        <w:tc>
          <w:tcPr>
            <w:tcW w:w="795" w:type="dxa"/>
            <w:tcBorders>
              <w:left w:val="none" w:sz="0" w:space="0" w:color="auto"/>
              <w:right w:val="none" w:sz="0" w:space="0" w:color="auto"/>
            </w:tcBorders>
            <w:shd w:val="clear" w:color="auto" w:fill="FFFFFF" w:themeFill="background1"/>
            <w:vAlign w:val="center"/>
          </w:tcPr>
          <w:p w14:paraId="493E3E61" w14:textId="2D724E4C" w:rsidR="00A11196" w:rsidRDefault="00A11196" w:rsidP="000A5C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-2.8%</w:t>
            </w:r>
          </w:p>
        </w:tc>
        <w:tc>
          <w:tcPr>
            <w:tcW w:w="769" w:type="dxa"/>
            <w:tcBorders>
              <w:left w:val="none" w:sz="0" w:space="0" w:color="auto"/>
              <w:right w:val="none" w:sz="0" w:space="0" w:color="auto"/>
            </w:tcBorders>
            <w:shd w:val="clear" w:color="auto" w:fill="FFFFFF" w:themeFill="background1"/>
            <w:vAlign w:val="center"/>
          </w:tcPr>
          <w:p w14:paraId="7CBE4A8F" w14:textId="74103375" w:rsidR="00A11196" w:rsidRDefault="003969FA"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2.6</w:t>
            </w:r>
            <w:r w:rsidR="000009C5">
              <w:rPr>
                <w:rFonts w:ascii="Arial" w:hAnsi="Arial" w:cs="Arial"/>
                <w:color w:val="215868" w:themeColor="accent5" w:themeShade="80"/>
                <w:sz w:val="18"/>
                <w:szCs w:val="18"/>
              </w:rPr>
              <w:t>%</w:t>
            </w:r>
          </w:p>
        </w:tc>
        <w:tc>
          <w:tcPr>
            <w:tcW w:w="862" w:type="dxa"/>
            <w:tcBorders>
              <w:left w:val="none" w:sz="0" w:space="0" w:color="auto"/>
              <w:right w:val="none" w:sz="0" w:space="0" w:color="auto"/>
            </w:tcBorders>
            <w:shd w:val="clear" w:color="auto" w:fill="FFFFFF" w:themeFill="background1"/>
            <w:vAlign w:val="center"/>
          </w:tcPr>
          <w:p w14:paraId="4158A17F" w14:textId="6F49E8C7" w:rsidR="00A11196" w:rsidRDefault="00A11196" w:rsidP="000A5C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2.1</w:t>
            </w:r>
            <w:r>
              <w:rPr>
                <w:rFonts w:ascii="Arial" w:hAnsi="Arial" w:cs="Arial"/>
                <w:color w:val="215868" w:themeColor="accent5" w:themeShade="80"/>
                <w:sz w:val="18"/>
                <w:szCs w:val="18"/>
              </w:rPr>
              <w:t>%</w:t>
            </w:r>
          </w:p>
        </w:tc>
      </w:tr>
    </w:tbl>
    <w:p w14:paraId="3E7941CB" w14:textId="77777777" w:rsidR="001D42B8" w:rsidRPr="004D62C0" w:rsidRDefault="001D42B8" w:rsidP="001D42B8">
      <w:pPr>
        <w:pStyle w:val="NoSpacing"/>
        <w:rPr>
          <w:rFonts w:cstheme="minorHAnsi"/>
          <w:sz w:val="10"/>
          <w:szCs w:val="10"/>
        </w:rPr>
      </w:pPr>
    </w:p>
    <w:p w14:paraId="4CDDEE80" w14:textId="77777777" w:rsidR="001D42B8" w:rsidRPr="006879B2" w:rsidRDefault="001D42B8" w:rsidP="001D42B8">
      <w:pPr>
        <w:pStyle w:val="NoSpacing"/>
        <w:rPr>
          <w:rFonts w:ascii="Arial" w:hAnsi="Arial" w:cs="Arial"/>
          <w:sz w:val="16"/>
          <w:szCs w:val="16"/>
        </w:rPr>
      </w:pPr>
      <w:r w:rsidRPr="006879B2">
        <w:rPr>
          <w:rFonts w:ascii="Arial" w:hAnsi="Arial" w:cs="Arial"/>
          <w:sz w:val="16"/>
          <w:szCs w:val="16"/>
        </w:rPr>
        <w:t>Source: IRI,</w:t>
      </w:r>
      <w:r>
        <w:rPr>
          <w:rFonts w:ascii="Arial" w:hAnsi="Arial" w:cs="Arial"/>
          <w:sz w:val="16"/>
          <w:szCs w:val="16"/>
        </w:rPr>
        <w:t xml:space="preserve"> Integrated Fresh, Total US, MULO, average </w:t>
      </w:r>
      <w:r w:rsidRPr="006879B2">
        <w:rPr>
          <w:rFonts w:ascii="Arial" w:hAnsi="Arial" w:cs="Arial"/>
          <w:sz w:val="16"/>
          <w:szCs w:val="16"/>
        </w:rPr>
        <w:t>items per store selling</w:t>
      </w:r>
    </w:p>
    <w:p w14:paraId="016A4B82" w14:textId="66DD44B4" w:rsidR="008469B3" w:rsidRDefault="008469B3" w:rsidP="00836CC8">
      <w:pPr>
        <w:pStyle w:val="NoSpacing"/>
        <w:rPr>
          <w:rFonts w:ascii="Arial" w:hAnsi="Arial" w:cs="Arial"/>
          <w:b/>
          <w:color w:val="595959" w:themeColor="text1" w:themeTint="A6"/>
          <w:sz w:val="24"/>
          <w:szCs w:val="24"/>
        </w:rPr>
      </w:pPr>
    </w:p>
    <w:p w14:paraId="7D2DECE6" w14:textId="2C0D5408" w:rsidR="00E8276F" w:rsidRPr="006879B2" w:rsidRDefault="00186F1E" w:rsidP="007A2A81">
      <w:pPr>
        <w:pStyle w:val="NoSpacing"/>
        <w:rPr>
          <w:rFonts w:ascii="Arial" w:hAnsi="Arial" w:cs="Arial"/>
          <w:b/>
          <w:color w:val="595959" w:themeColor="text1" w:themeTint="A6"/>
          <w:sz w:val="24"/>
          <w:szCs w:val="24"/>
        </w:rPr>
      </w:pPr>
      <w:bookmarkStart w:id="3" w:name="_Hlk76976129"/>
      <w:r>
        <w:rPr>
          <w:rFonts w:ascii="Arial" w:hAnsi="Arial" w:cs="Arial"/>
          <w:b/>
          <w:color w:val="595959" w:themeColor="text1" w:themeTint="A6"/>
          <w:sz w:val="24"/>
          <w:szCs w:val="24"/>
        </w:rPr>
        <w:t xml:space="preserve">Fresh </w:t>
      </w:r>
      <w:r w:rsidR="00E8276F" w:rsidRPr="006879B2">
        <w:rPr>
          <w:rFonts w:ascii="Arial" w:hAnsi="Arial" w:cs="Arial"/>
          <w:b/>
          <w:color w:val="595959" w:themeColor="text1" w:themeTint="A6"/>
          <w:sz w:val="24"/>
          <w:szCs w:val="24"/>
        </w:rPr>
        <w:t>Meat by Protein</w:t>
      </w:r>
      <w:r w:rsidR="00E57D76">
        <w:rPr>
          <w:rFonts w:ascii="Arial" w:hAnsi="Arial" w:cs="Arial"/>
          <w:b/>
          <w:color w:val="595959" w:themeColor="text1" w:themeTint="A6"/>
          <w:sz w:val="24"/>
          <w:szCs w:val="24"/>
        </w:rPr>
        <w:t xml:space="preserve"> </w:t>
      </w:r>
    </w:p>
    <w:p w14:paraId="65E63B66" w14:textId="4716E9DA" w:rsidR="00E57D76" w:rsidRPr="00346DE1" w:rsidRDefault="000D0B85" w:rsidP="00F71B42">
      <w:pPr>
        <w:pStyle w:val="NoSpacing"/>
        <w:rPr>
          <w:rFonts w:ascii="Arial" w:hAnsi="Arial" w:cs="Arial"/>
          <w:b/>
          <w:color w:val="595959" w:themeColor="text1" w:themeTint="A6"/>
          <w:szCs w:val="24"/>
        </w:rPr>
      </w:pPr>
      <w:r>
        <w:rPr>
          <w:rFonts w:ascii="Arial" w:hAnsi="Arial" w:cs="Arial"/>
          <w:sz w:val="20"/>
          <w:szCs w:val="20"/>
        </w:rPr>
        <w:t xml:space="preserve">Total fresh meat sales were up </w:t>
      </w:r>
      <w:r w:rsidR="00C632A8">
        <w:rPr>
          <w:rFonts w:ascii="Arial" w:hAnsi="Arial" w:cs="Arial"/>
          <w:sz w:val="20"/>
          <w:szCs w:val="20"/>
        </w:rPr>
        <w:t>2.2</w:t>
      </w:r>
      <w:r>
        <w:rPr>
          <w:rFonts w:ascii="Arial" w:hAnsi="Arial" w:cs="Arial"/>
          <w:sz w:val="20"/>
          <w:szCs w:val="20"/>
        </w:rPr>
        <w:t>% in</w:t>
      </w:r>
      <w:r w:rsidR="00C632A8">
        <w:rPr>
          <w:rFonts w:ascii="Arial" w:hAnsi="Arial" w:cs="Arial"/>
          <w:sz w:val="20"/>
          <w:szCs w:val="20"/>
        </w:rPr>
        <w:t xml:space="preserve"> September</w:t>
      </w:r>
      <w:r>
        <w:rPr>
          <w:rFonts w:ascii="Arial" w:hAnsi="Arial" w:cs="Arial"/>
          <w:sz w:val="20"/>
          <w:szCs w:val="20"/>
        </w:rPr>
        <w:t>. Poultry delivered big, but this was inflation driven.</w:t>
      </w:r>
      <w:r w:rsidR="004D631A">
        <w:rPr>
          <w:rFonts w:ascii="Arial" w:hAnsi="Arial" w:cs="Arial"/>
          <w:sz w:val="20"/>
          <w:szCs w:val="20"/>
        </w:rPr>
        <w:t xml:space="preserve"> Beef and pork, that had much milder inflation, experienced slight year-on-year declines in both dollar and pound sales</w:t>
      </w:r>
      <w:r>
        <w:rPr>
          <w:rFonts w:ascii="Arial" w:hAnsi="Arial" w:cs="Arial"/>
          <w:sz w:val="20"/>
          <w:szCs w:val="20"/>
        </w:rPr>
        <w:t>.</w:t>
      </w:r>
      <w:r w:rsidR="00346DE1">
        <w:rPr>
          <w:rFonts w:ascii="Arial" w:hAnsi="Arial" w:cs="Arial"/>
          <w:sz w:val="20"/>
          <w:szCs w:val="20"/>
        </w:rPr>
        <w:br/>
      </w:r>
    </w:p>
    <w:tbl>
      <w:tblPr>
        <w:tblStyle w:val="LightShading-Accent5"/>
        <w:tblW w:w="10511" w:type="dxa"/>
        <w:tblBorders>
          <w:top w:val="none" w:sz="0" w:space="0" w:color="auto"/>
          <w:bottom w:val="none" w:sz="0" w:space="0" w:color="auto"/>
        </w:tblBorders>
        <w:tblLayout w:type="fixed"/>
        <w:tblLook w:val="04A0" w:firstRow="1" w:lastRow="0" w:firstColumn="1" w:lastColumn="0" w:noHBand="0" w:noVBand="1"/>
      </w:tblPr>
      <w:tblGrid>
        <w:gridCol w:w="1453"/>
        <w:gridCol w:w="740"/>
        <w:gridCol w:w="784"/>
        <w:gridCol w:w="709"/>
        <w:gridCol w:w="727"/>
        <w:gridCol w:w="740"/>
        <w:gridCol w:w="741"/>
        <w:gridCol w:w="740"/>
        <w:gridCol w:w="740"/>
        <w:gridCol w:w="741"/>
        <w:gridCol w:w="816"/>
        <w:gridCol w:w="708"/>
        <w:gridCol w:w="146"/>
        <w:gridCol w:w="726"/>
      </w:tblGrid>
      <w:tr w:rsidR="00A11196" w:rsidRPr="0003007F" w14:paraId="3924929C" w14:textId="77777777" w:rsidTr="00E67E79">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453" w:type="dxa"/>
            <w:tcBorders>
              <w:top w:val="none" w:sz="0" w:space="0" w:color="auto"/>
              <w:bottom w:val="none" w:sz="0" w:space="0" w:color="auto"/>
            </w:tcBorders>
            <w:shd w:val="clear" w:color="auto" w:fill="17365D" w:themeFill="text2" w:themeFillShade="BF"/>
            <w:vAlign w:val="center"/>
          </w:tcPr>
          <w:p w14:paraId="20B9BDEC" w14:textId="77777777" w:rsidR="00A11196" w:rsidRPr="0003007F" w:rsidRDefault="00A11196" w:rsidP="00A11196">
            <w:pPr>
              <w:pStyle w:val="NoSpacing"/>
              <w:jc w:val="right"/>
              <w:rPr>
                <w:rFonts w:ascii="Arial" w:hAnsi="Arial" w:cs="Arial"/>
                <w:color w:val="FFFFFF" w:themeColor="background1"/>
                <w:sz w:val="18"/>
                <w:szCs w:val="18"/>
              </w:rPr>
            </w:pPr>
          </w:p>
        </w:tc>
        <w:tc>
          <w:tcPr>
            <w:tcW w:w="740" w:type="dxa"/>
            <w:tcBorders>
              <w:top w:val="none" w:sz="0" w:space="0" w:color="auto"/>
              <w:bottom w:val="none" w:sz="0" w:space="0" w:color="auto"/>
            </w:tcBorders>
            <w:shd w:val="clear" w:color="auto" w:fill="17365D" w:themeFill="text2" w:themeFillShade="BF"/>
            <w:vAlign w:val="center"/>
          </w:tcPr>
          <w:p w14:paraId="10B7D76F" w14:textId="77777777" w:rsidR="00A11196" w:rsidRPr="003C245B" w:rsidRDefault="00A11196" w:rsidP="00A11196">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color w:val="FFFFFF" w:themeColor="background1"/>
                <w:sz w:val="18"/>
                <w:szCs w:val="18"/>
              </w:rPr>
              <w:t>2019</w:t>
            </w:r>
          </w:p>
        </w:tc>
        <w:tc>
          <w:tcPr>
            <w:tcW w:w="784" w:type="dxa"/>
            <w:tcBorders>
              <w:top w:val="none" w:sz="0" w:space="0" w:color="auto"/>
              <w:bottom w:val="none" w:sz="0" w:space="0" w:color="auto"/>
            </w:tcBorders>
            <w:shd w:val="clear" w:color="auto" w:fill="17365D" w:themeFill="text2" w:themeFillShade="BF"/>
            <w:vAlign w:val="center"/>
          </w:tcPr>
          <w:p w14:paraId="77D088D9" w14:textId="77777777" w:rsidR="00A11196" w:rsidRPr="003C245B" w:rsidRDefault="00A11196" w:rsidP="00A11196">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18"/>
                <w:szCs w:val="18"/>
              </w:rPr>
            </w:pPr>
            <w:r>
              <w:rPr>
                <w:rFonts w:ascii="Arial" w:hAnsi="Arial" w:cs="Arial"/>
                <w:color w:val="FFFFFF" w:themeColor="background1"/>
                <w:sz w:val="18"/>
                <w:szCs w:val="18"/>
              </w:rPr>
              <w:t>2020</w:t>
            </w:r>
          </w:p>
        </w:tc>
        <w:tc>
          <w:tcPr>
            <w:tcW w:w="709" w:type="dxa"/>
            <w:tcBorders>
              <w:top w:val="none" w:sz="0" w:space="0" w:color="auto"/>
              <w:bottom w:val="none" w:sz="0" w:space="0" w:color="auto"/>
            </w:tcBorders>
            <w:shd w:val="clear" w:color="auto" w:fill="17365D" w:themeFill="text2" w:themeFillShade="BF"/>
            <w:vAlign w:val="center"/>
          </w:tcPr>
          <w:p w14:paraId="161EF0A2" w14:textId="20824EE9" w:rsidR="00A11196" w:rsidRDefault="00A11196" w:rsidP="00A11196">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18"/>
                <w:szCs w:val="18"/>
              </w:rPr>
            </w:pPr>
            <w:r>
              <w:rPr>
                <w:rFonts w:ascii="Arial" w:hAnsi="Arial" w:cs="Arial"/>
                <w:color w:val="FFFFFF" w:themeColor="background1"/>
                <w:sz w:val="18"/>
                <w:szCs w:val="18"/>
              </w:rPr>
              <w:t>Q1 21</w:t>
            </w:r>
          </w:p>
        </w:tc>
        <w:tc>
          <w:tcPr>
            <w:tcW w:w="727" w:type="dxa"/>
            <w:tcBorders>
              <w:top w:val="none" w:sz="0" w:space="0" w:color="auto"/>
              <w:bottom w:val="none" w:sz="0" w:space="0" w:color="auto"/>
            </w:tcBorders>
            <w:shd w:val="clear" w:color="auto" w:fill="17365D" w:themeFill="text2" w:themeFillShade="BF"/>
            <w:vAlign w:val="center"/>
          </w:tcPr>
          <w:p w14:paraId="3C023DCF" w14:textId="4219FAB7" w:rsidR="00A11196" w:rsidRDefault="00A11196" w:rsidP="00A11196">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18"/>
                <w:szCs w:val="18"/>
              </w:rPr>
            </w:pPr>
            <w:r>
              <w:rPr>
                <w:rFonts w:ascii="Arial" w:hAnsi="Arial" w:cs="Arial"/>
                <w:color w:val="FFFFFF" w:themeColor="background1"/>
                <w:sz w:val="18"/>
                <w:szCs w:val="18"/>
              </w:rPr>
              <w:t>Q2 21</w:t>
            </w:r>
          </w:p>
        </w:tc>
        <w:tc>
          <w:tcPr>
            <w:tcW w:w="740" w:type="dxa"/>
            <w:tcBorders>
              <w:top w:val="none" w:sz="0" w:space="0" w:color="auto"/>
              <w:bottom w:val="none" w:sz="0" w:space="0" w:color="auto"/>
            </w:tcBorders>
            <w:shd w:val="clear" w:color="auto" w:fill="17365D" w:themeFill="text2" w:themeFillShade="BF"/>
            <w:vAlign w:val="center"/>
          </w:tcPr>
          <w:p w14:paraId="3D0A0890" w14:textId="79B40F8D" w:rsidR="00A11196" w:rsidRDefault="00A11196" w:rsidP="00A11196">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18"/>
                <w:szCs w:val="18"/>
              </w:rPr>
            </w:pPr>
            <w:r>
              <w:rPr>
                <w:rFonts w:ascii="Arial" w:hAnsi="Arial" w:cs="Arial"/>
                <w:color w:val="FFFFFF" w:themeColor="background1"/>
                <w:sz w:val="18"/>
                <w:szCs w:val="18"/>
              </w:rPr>
              <w:t>Q3 21</w:t>
            </w:r>
          </w:p>
        </w:tc>
        <w:tc>
          <w:tcPr>
            <w:tcW w:w="741" w:type="dxa"/>
            <w:tcBorders>
              <w:top w:val="none" w:sz="0" w:space="0" w:color="auto"/>
              <w:bottom w:val="none" w:sz="0" w:space="0" w:color="auto"/>
            </w:tcBorders>
            <w:shd w:val="clear" w:color="auto" w:fill="17365D" w:themeFill="text2" w:themeFillShade="BF"/>
            <w:vAlign w:val="center"/>
          </w:tcPr>
          <w:p w14:paraId="44F75866" w14:textId="0BC58298" w:rsidR="00A11196" w:rsidRDefault="00A11196" w:rsidP="00A11196">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18"/>
                <w:szCs w:val="18"/>
              </w:rPr>
            </w:pPr>
            <w:r>
              <w:rPr>
                <w:rFonts w:ascii="Arial" w:hAnsi="Arial" w:cs="Arial"/>
                <w:color w:val="FFFFFF" w:themeColor="background1"/>
                <w:sz w:val="18"/>
                <w:szCs w:val="18"/>
              </w:rPr>
              <w:t>Q4 21</w:t>
            </w:r>
          </w:p>
        </w:tc>
        <w:tc>
          <w:tcPr>
            <w:tcW w:w="740" w:type="dxa"/>
            <w:tcBorders>
              <w:top w:val="none" w:sz="0" w:space="0" w:color="auto"/>
              <w:bottom w:val="none" w:sz="0" w:space="0" w:color="auto"/>
            </w:tcBorders>
            <w:shd w:val="clear" w:color="auto" w:fill="17365D" w:themeFill="text2" w:themeFillShade="BF"/>
            <w:vAlign w:val="center"/>
          </w:tcPr>
          <w:p w14:paraId="600723F5" w14:textId="332FCA20" w:rsidR="00A11196" w:rsidRPr="00621D55" w:rsidRDefault="00A11196" w:rsidP="00A11196">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621D55">
              <w:rPr>
                <w:rFonts w:ascii="Arial" w:hAnsi="Arial" w:cs="Arial"/>
                <w:bCs w:val="0"/>
                <w:color w:val="FFFFFF" w:themeColor="background1"/>
                <w:sz w:val="18"/>
                <w:szCs w:val="18"/>
              </w:rPr>
              <w:t>Q1 22</w:t>
            </w:r>
          </w:p>
        </w:tc>
        <w:tc>
          <w:tcPr>
            <w:tcW w:w="740" w:type="dxa"/>
            <w:tcBorders>
              <w:top w:val="none" w:sz="0" w:space="0" w:color="auto"/>
              <w:bottom w:val="none" w:sz="0" w:space="0" w:color="auto"/>
            </w:tcBorders>
            <w:shd w:val="clear" w:color="auto" w:fill="17365D" w:themeFill="text2" w:themeFillShade="BF"/>
            <w:vAlign w:val="center"/>
          </w:tcPr>
          <w:p w14:paraId="04539687" w14:textId="77836DA9" w:rsidR="00A11196" w:rsidRDefault="00A11196" w:rsidP="00A11196">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Q2 22</w:t>
            </w:r>
          </w:p>
        </w:tc>
        <w:tc>
          <w:tcPr>
            <w:tcW w:w="741" w:type="dxa"/>
            <w:tcBorders>
              <w:top w:val="none" w:sz="0" w:space="0" w:color="auto"/>
              <w:bottom w:val="none" w:sz="0" w:space="0" w:color="auto"/>
            </w:tcBorders>
            <w:shd w:val="clear" w:color="auto" w:fill="17365D" w:themeFill="text2" w:themeFillShade="BF"/>
            <w:vAlign w:val="center"/>
          </w:tcPr>
          <w:p w14:paraId="75D63F2C" w14:textId="0B90C20F" w:rsidR="00A11196" w:rsidRPr="00621D55" w:rsidRDefault="00A11196" w:rsidP="00A11196">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Pr>
                <w:rFonts w:ascii="Arial" w:hAnsi="Arial" w:cs="Arial"/>
                <w:bCs w:val="0"/>
                <w:color w:val="FFFFFF" w:themeColor="background1"/>
                <w:sz w:val="18"/>
                <w:szCs w:val="18"/>
              </w:rPr>
              <w:t>Q3 22</w:t>
            </w:r>
          </w:p>
        </w:tc>
        <w:tc>
          <w:tcPr>
            <w:tcW w:w="816" w:type="dxa"/>
            <w:tcBorders>
              <w:top w:val="none" w:sz="0" w:space="0" w:color="auto"/>
              <w:bottom w:val="none" w:sz="0" w:space="0" w:color="auto"/>
            </w:tcBorders>
            <w:shd w:val="clear" w:color="auto" w:fill="17365D" w:themeFill="text2" w:themeFillShade="BF"/>
            <w:vAlign w:val="center"/>
          </w:tcPr>
          <w:p w14:paraId="1BB32EAF" w14:textId="226E3B91" w:rsidR="00A11196" w:rsidRPr="00621D55" w:rsidRDefault="00A11196" w:rsidP="00A11196">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bCs w:val="0"/>
                <w:color w:val="FFFFFF" w:themeColor="background1"/>
                <w:sz w:val="18"/>
                <w:szCs w:val="18"/>
              </w:rPr>
              <w:t xml:space="preserve">Sep </w:t>
            </w:r>
            <w:r w:rsidRPr="00621D55">
              <w:rPr>
                <w:rFonts w:ascii="Arial" w:hAnsi="Arial" w:cs="Arial"/>
                <w:bCs w:val="0"/>
                <w:color w:val="FFFFFF" w:themeColor="background1"/>
                <w:sz w:val="18"/>
                <w:szCs w:val="18"/>
              </w:rPr>
              <w:t>22</w:t>
            </w:r>
          </w:p>
        </w:tc>
        <w:tc>
          <w:tcPr>
            <w:tcW w:w="708" w:type="dxa"/>
            <w:tcBorders>
              <w:top w:val="none" w:sz="0" w:space="0" w:color="auto"/>
              <w:bottom w:val="none" w:sz="0" w:space="0" w:color="auto"/>
            </w:tcBorders>
            <w:shd w:val="clear" w:color="auto" w:fill="17365D" w:themeFill="text2" w:themeFillShade="BF"/>
            <w:vAlign w:val="center"/>
          </w:tcPr>
          <w:p w14:paraId="0CFB6538" w14:textId="1116331A" w:rsidR="00A11196" w:rsidRPr="00621D55" w:rsidRDefault="00A11196" w:rsidP="00A11196">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621D55">
              <w:rPr>
                <w:rFonts w:ascii="Arial" w:hAnsi="Arial" w:cs="Arial"/>
                <w:bCs w:val="0"/>
                <w:color w:val="FFFFFF" w:themeColor="background1"/>
                <w:sz w:val="18"/>
                <w:szCs w:val="18"/>
              </w:rPr>
              <w:t>$ vs YA</w:t>
            </w:r>
          </w:p>
        </w:tc>
        <w:tc>
          <w:tcPr>
            <w:tcW w:w="872" w:type="dxa"/>
            <w:gridSpan w:val="2"/>
            <w:tcBorders>
              <w:top w:val="none" w:sz="0" w:space="0" w:color="auto"/>
              <w:bottom w:val="none" w:sz="0" w:space="0" w:color="auto"/>
            </w:tcBorders>
            <w:shd w:val="clear" w:color="auto" w:fill="17365D" w:themeFill="text2" w:themeFillShade="BF"/>
            <w:vAlign w:val="center"/>
          </w:tcPr>
          <w:p w14:paraId="2366C872" w14:textId="5931754C" w:rsidR="00A11196" w:rsidRPr="00621D55" w:rsidRDefault="00A11196" w:rsidP="00A11196">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proofErr w:type="spellStart"/>
            <w:r w:rsidRPr="00621D55">
              <w:rPr>
                <w:rFonts w:ascii="Arial" w:hAnsi="Arial" w:cs="Arial"/>
                <w:bCs w:val="0"/>
                <w:color w:val="FFFFFF" w:themeColor="background1"/>
                <w:sz w:val="18"/>
                <w:szCs w:val="18"/>
              </w:rPr>
              <w:t>lbs</w:t>
            </w:r>
            <w:proofErr w:type="spellEnd"/>
            <w:r w:rsidRPr="00621D55">
              <w:rPr>
                <w:rFonts w:ascii="Arial" w:hAnsi="Arial" w:cs="Arial"/>
                <w:bCs w:val="0"/>
                <w:color w:val="FFFFFF" w:themeColor="background1"/>
                <w:sz w:val="18"/>
                <w:szCs w:val="18"/>
              </w:rPr>
              <w:t xml:space="preserve"> vs YA</w:t>
            </w:r>
          </w:p>
        </w:tc>
      </w:tr>
      <w:tr w:rsidR="00A11196" w:rsidRPr="00F15F7E" w14:paraId="3E28013B" w14:textId="77777777" w:rsidTr="00E67E7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4B19324E" w14:textId="77777777" w:rsidR="00A11196" w:rsidRPr="00F15F7E" w:rsidRDefault="00A11196" w:rsidP="00A11196">
            <w:pPr>
              <w:pStyle w:val="NoSpacing"/>
              <w:rPr>
                <w:rFonts w:ascii="Arial" w:hAnsi="Arial" w:cs="Arial"/>
                <w:bCs w:val="0"/>
                <w:color w:val="215868" w:themeColor="accent5" w:themeShade="80"/>
                <w:sz w:val="18"/>
                <w:szCs w:val="18"/>
              </w:rPr>
            </w:pPr>
            <w:r w:rsidRPr="00F15F7E">
              <w:rPr>
                <w:rFonts w:ascii="Arial" w:hAnsi="Arial" w:cs="Arial"/>
                <w:bCs w:val="0"/>
                <w:color w:val="215868" w:themeColor="accent5" w:themeShade="80"/>
                <w:sz w:val="18"/>
                <w:szCs w:val="18"/>
              </w:rPr>
              <w:t>Total fresh meat</w:t>
            </w:r>
          </w:p>
        </w:tc>
        <w:tc>
          <w:tcPr>
            <w:tcW w:w="740" w:type="dxa"/>
            <w:vAlign w:val="center"/>
          </w:tcPr>
          <w:p w14:paraId="20ABA6B1" w14:textId="44491016" w:rsidR="00A11196" w:rsidRPr="00F15F7E" w:rsidRDefault="00A11196" w:rsidP="00A11196">
            <w:pPr>
              <w:jc w:val="right"/>
              <w:cnfStyle w:val="000000100000" w:firstRow="0" w:lastRow="0" w:firstColumn="0" w:lastColumn="0" w:oddVBand="0" w:evenVBand="0" w:oddHBand="1" w:evenHBand="0" w:firstRowFirstColumn="0" w:firstRowLastColumn="0" w:lastRowFirstColumn="0" w:lastRowLastColumn="0"/>
              <w:rPr>
                <w:b/>
              </w:rPr>
            </w:pPr>
            <w:r>
              <w:rPr>
                <w:rFonts w:ascii="Arial" w:hAnsi="Arial" w:cs="Arial"/>
                <w:b/>
                <w:color w:val="215868" w:themeColor="accent5" w:themeShade="80"/>
                <w:sz w:val="18"/>
              </w:rPr>
              <w:t>+2</w:t>
            </w:r>
            <w:r w:rsidRPr="00F15F7E">
              <w:rPr>
                <w:rFonts w:ascii="Arial" w:hAnsi="Arial" w:cs="Arial"/>
                <w:b/>
                <w:color w:val="215868" w:themeColor="accent5" w:themeShade="80"/>
                <w:sz w:val="18"/>
              </w:rPr>
              <w:t>%</w:t>
            </w:r>
          </w:p>
        </w:tc>
        <w:tc>
          <w:tcPr>
            <w:tcW w:w="784" w:type="dxa"/>
            <w:vAlign w:val="center"/>
          </w:tcPr>
          <w:p w14:paraId="74268B4C" w14:textId="6299242D" w:rsidR="00A11196" w:rsidRPr="00F15F7E" w:rsidRDefault="00A11196" w:rsidP="00A11196">
            <w:pPr>
              <w:jc w:val="right"/>
              <w:cnfStyle w:val="000000100000" w:firstRow="0" w:lastRow="0" w:firstColumn="0" w:lastColumn="0" w:oddVBand="0" w:evenVBand="0" w:oddHBand="1" w:evenHBand="0" w:firstRowFirstColumn="0" w:firstRowLastColumn="0" w:lastRowFirstColumn="0" w:lastRowLastColumn="0"/>
              <w:rPr>
                <w:b/>
              </w:rPr>
            </w:pPr>
            <w:r>
              <w:rPr>
                <w:rFonts w:ascii="Arial" w:hAnsi="Arial" w:cs="Arial"/>
                <w:b/>
                <w:color w:val="215868" w:themeColor="accent5" w:themeShade="80"/>
                <w:sz w:val="18"/>
              </w:rPr>
              <w:t>+21</w:t>
            </w:r>
            <w:r w:rsidRPr="00F15F7E">
              <w:rPr>
                <w:rFonts w:ascii="Arial" w:hAnsi="Arial" w:cs="Arial"/>
                <w:b/>
                <w:color w:val="215868" w:themeColor="accent5" w:themeShade="80"/>
                <w:sz w:val="18"/>
              </w:rPr>
              <w:t>%</w:t>
            </w:r>
          </w:p>
        </w:tc>
        <w:tc>
          <w:tcPr>
            <w:tcW w:w="709" w:type="dxa"/>
            <w:vAlign w:val="center"/>
          </w:tcPr>
          <w:p w14:paraId="05BAC8E4" w14:textId="0B876BA0" w:rsidR="00A11196" w:rsidRPr="00F15F7E" w:rsidRDefault="00274281" w:rsidP="00A11196">
            <w:pPr>
              <w:jc w:val="right"/>
              <w:cnfStyle w:val="000000100000" w:firstRow="0" w:lastRow="0" w:firstColumn="0" w:lastColumn="0" w:oddVBand="0" w:evenVBand="0" w:oddHBand="1" w:evenHBand="0" w:firstRowFirstColumn="0" w:firstRowLastColumn="0" w:lastRowFirstColumn="0" w:lastRowLastColumn="0"/>
              <w:rPr>
                <w:b/>
              </w:rPr>
            </w:pPr>
            <w:r>
              <w:rPr>
                <w:rFonts w:ascii="Arial" w:hAnsi="Arial" w:cs="Arial"/>
                <w:b/>
                <w:color w:val="215868" w:themeColor="accent5" w:themeShade="80"/>
                <w:sz w:val="18"/>
              </w:rPr>
              <w:t>+1</w:t>
            </w:r>
            <w:r w:rsidR="00A11196" w:rsidRPr="00F15F7E">
              <w:rPr>
                <w:rFonts w:ascii="Arial" w:hAnsi="Arial" w:cs="Arial"/>
                <w:b/>
                <w:color w:val="215868" w:themeColor="accent5" w:themeShade="80"/>
                <w:sz w:val="18"/>
              </w:rPr>
              <w:t>%</w:t>
            </w:r>
          </w:p>
        </w:tc>
        <w:tc>
          <w:tcPr>
            <w:tcW w:w="727" w:type="dxa"/>
            <w:vAlign w:val="center"/>
          </w:tcPr>
          <w:p w14:paraId="69B9840E" w14:textId="2E54BD95" w:rsidR="00A11196" w:rsidRPr="00F15F7E" w:rsidRDefault="00A11196"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18"/>
              </w:rPr>
            </w:pPr>
            <w:r w:rsidRPr="00F15F7E">
              <w:rPr>
                <w:rFonts w:ascii="Arial" w:hAnsi="Arial" w:cs="Arial"/>
                <w:b/>
                <w:color w:val="215868" w:themeColor="accent5" w:themeShade="80"/>
                <w:sz w:val="18"/>
                <w:szCs w:val="18"/>
              </w:rPr>
              <w:t>-</w:t>
            </w:r>
            <w:r w:rsidR="00274281">
              <w:rPr>
                <w:rFonts w:ascii="Arial" w:hAnsi="Arial" w:cs="Arial"/>
                <w:b/>
                <w:color w:val="215868" w:themeColor="accent5" w:themeShade="80"/>
                <w:sz w:val="18"/>
                <w:szCs w:val="18"/>
              </w:rPr>
              <w:t>11</w:t>
            </w:r>
            <w:r w:rsidRPr="00F15F7E">
              <w:rPr>
                <w:rFonts w:ascii="Arial" w:hAnsi="Arial" w:cs="Arial"/>
                <w:b/>
                <w:color w:val="215868" w:themeColor="accent5" w:themeShade="80"/>
                <w:sz w:val="18"/>
                <w:szCs w:val="18"/>
              </w:rPr>
              <w:t>%</w:t>
            </w:r>
          </w:p>
        </w:tc>
        <w:tc>
          <w:tcPr>
            <w:tcW w:w="740" w:type="dxa"/>
            <w:vAlign w:val="center"/>
          </w:tcPr>
          <w:p w14:paraId="0D0BF3E4" w14:textId="66B4E0CB" w:rsidR="00A11196" w:rsidRPr="00F15F7E" w:rsidRDefault="00274281"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18"/>
              </w:rPr>
            </w:pPr>
            <w:r>
              <w:rPr>
                <w:rFonts w:ascii="Arial" w:hAnsi="Arial" w:cs="Arial"/>
                <w:b/>
                <w:color w:val="215868" w:themeColor="accent5" w:themeShade="80"/>
                <w:sz w:val="18"/>
                <w:szCs w:val="18"/>
              </w:rPr>
              <w:t>+3</w:t>
            </w:r>
            <w:r w:rsidR="00A11196">
              <w:rPr>
                <w:rFonts w:ascii="Arial" w:hAnsi="Arial" w:cs="Arial"/>
                <w:b/>
                <w:color w:val="215868" w:themeColor="accent5" w:themeShade="80"/>
                <w:sz w:val="18"/>
                <w:szCs w:val="18"/>
              </w:rPr>
              <w:t>%</w:t>
            </w:r>
          </w:p>
        </w:tc>
        <w:tc>
          <w:tcPr>
            <w:tcW w:w="741" w:type="dxa"/>
            <w:vAlign w:val="center"/>
          </w:tcPr>
          <w:p w14:paraId="1E982D66" w14:textId="541268FA" w:rsidR="00A11196" w:rsidRPr="00F15F7E" w:rsidRDefault="00274281"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18"/>
              </w:rPr>
            </w:pPr>
            <w:r>
              <w:rPr>
                <w:rFonts w:ascii="Arial" w:hAnsi="Arial" w:cs="Arial"/>
                <w:b/>
                <w:color w:val="215868" w:themeColor="accent5" w:themeShade="80"/>
                <w:sz w:val="18"/>
                <w:szCs w:val="18"/>
              </w:rPr>
              <w:t>+6</w:t>
            </w:r>
            <w:r w:rsidR="00A11196">
              <w:rPr>
                <w:rFonts w:ascii="Arial" w:hAnsi="Arial" w:cs="Arial"/>
                <w:b/>
                <w:color w:val="215868" w:themeColor="accent5" w:themeShade="80"/>
                <w:sz w:val="18"/>
                <w:szCs w:val="18"/>
              </w:rPr>
              <w:t>%</w:t>
            </w:r>
          </w:p>
        </w:tc>
        <w:tc>
          <w:tcPr>
            <w:tcW w:w="740" w:type="dxa"/>
            <w:vAlign w:val="center"/>
          </w:tcPr>
          <w:p w14:paraId="4F12650A" w14:textId="3809C6D3" w:rsidR="00A11196" w:rsidRPr="00F15F7E" w:rsidRDefault="00274281"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18"/>
              </w:rPr>
            </w:pPr>
            <w:r>
              <w:rPr>
                <w:rFonts w:ascii="Arial" w:hAnsi="Arial" w:cs="Arial"/>
                <w:b/>
                <w:color w:val="215868" w:themeColor="accent5" w:themeShade="80"/>
                <w:sz w:val="18"/>
                <w:szCs w:val="18"/>
              </w:rPr>
              <w:t>+6</w:t>
            </w:r>
            <w:r w:rsidR="00A11196" w:rsidRPr="00F15F7E">
              <w:rPr>
                <w:rFonts w:ascii="Arial" w:hAnsi="Arial" w:cs="Arial"/>
                <w:b/>
                <w:color w:val="215868" w:themeColor="accent5" w:themeShade="80"/>
                <w:sz w:val="18"/>
                <w:szCs w:val="18"/>
              </w:rPr>
              <w:t>%</w:t>
            </w:r>
          </w:p>
        </w:tc>
        <w:tc>
          <w:tcPr>
            <w:tcW w:w="740" w:type="dxa"/>
            <w:vAlign w:val="center"/>
          </w:tcPr>
          <w:p w14:paraId="5DF265B0" w14:textId="48489A38" w:rsidR="00A11196" w:rsidRDefault="00274281"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18"/>
              </w:rPr>
            </w:pPr>
            <w:r>
              <w:rPr>
                <w:rFonts w:ascii="Arial" w:hAnsi="Arial" w:cs="Arial"/>
                <w:b/>
                <w:color w:val="215868" w:themeColor="accent5" w:themeShade="80"/>
                <w:sz w:val="18"/>
                <w:szCs w:val="18"/>
              </w:rPr>
              <w:t>+7</w:t>
            </w:r>
            <w:r w:rsidR="00A11196" w:rsidRPr="00F15F7E">
              <w:rPr>
                <w:rFonts w:ascii="Arial" w:hAnsi="Arial" w:cs="Arial"/>
                <w:b/>
                <w:color w:val="215868" w:themeColor="accent5" w:themeShade="80"/>
                <w:sz w:val="18"/>
                <w:szCs w:val="18"/>
              </w:rPr>
              <w:t>%</w:t>
            </w:r>
          </w:p>
        </w:tc>
        <w:tc>
          <w:tcPr>
            <w:tcW w:w="741" w:type="dxa"/>
            <w:vAlign w:val="center"/>
          </w:tcPr>
          <w:p w14:paraId="08945F32" w14:textId="7E4C77C8" w:rsidR="00A11196" w:rsidRDefault="00C632A8"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18"/>
              </w:rPr>
            </w:pPr>
            <w:r>
              <w:rPr>
                <w:rFonts w:ascii="Arial" w:hAnsi="Arial" w:cs="Arial"/>
                <w:b/>
                <w:color w:val="215868" w:themeColor="accent5" w:themeShade="80"/>
                <w:sz w:val="18"/>
                <w:szCs w:val="18"/>
              </w:rPr>
              <w:t>+3.0</w:t>
            </w:r>
            <w:r w:rsidR="0036550E">
              <w:rPr>
                <w:rFonts w:ascii="Arial" w:hAnsi="Arial" w:cs="Arial"/>
                <w:b/>
                <w:color w:val="215868" w:themeColor="accent5" w:themeShade="80"/>
                <w:sz w:val="18"/>
                <w:szCs w:val="18"/>
              </w:rPr>
              <w:t>%</w:t>
            </w:r>
          </w:p>
        </w:tc>
        <w:tc>
          <w:tcPr>
            <w:tcW w:w="816" w:type="dxa"/>
            <w:vAlign w:val="center"/>
          </w:tcPr>
          <w:p w14:paraId="1D4D55A2" w14:textId="70E9CA7A" w:rsidR="00A11196" w:rsidRDefault="00A11196"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18"/>
              </w:rPr>
            </w:pPr>
            <w:r>
              <w:rPr>
                <w:rFonts w:ascii="Arial" w:hAnsi="Arial" w:cs="Arial"/>
                <w:b/>
                <w:color w:val="215868" w:themeColor="accent5" w:themeShade="80"/>
                <w:sz w:val="18"/>
                <w:szCs w:val="18"/>
              </w:rPr>
              <w:t>$</w:t>
            </w:r>
            <w:r w:rsidR="00C632A8">
              <w:rPr>
                <w:rFonts w:ascii="Arial" w:hAnsi="Arial" w:cs="Arial"/>
                <w:b/>
                <w:color w:val="215868" w:themeColor="accent5" w:themeShade="80"/>
                <w:sz w:val="18"/>
                <w:szCs w:val="18"/>
              </w:rPr>
              <w:t>4.4</w:t>
            </w:r>
            <w:r>
              <w:rPr>
                <w:rFonts w:ascii="Arial" w:hAnsi="Arial" w:cs="Arial"/>
                <w:b/>
                <w:color w:val="215868" w:themeColor="accent5" w:themeShade="80"/>
                <w:sz w:val="18"/>
                <w:szCs w:val="18"/>
              </w:rPr>
              <w:t>B</w:t>
            </w:r>
          </w:p>
        </w:tc>
        <w:tc>
          <w:tcPr>
            <w:tcW w:w="854" w:type="dxa"/>
            <w:gridSpan w:val="2"/>
            <w:vAlign w:val="center"/>
          </w:tcPr>
          <w:p w14:paraId="0FBB1950" w14:textId="1E6A6164" w:rsidR="00A11196" w:rsidRPr="00F15F7E" w:rsidRDefault="00A11196" w:rsidP="00A11196">
            <w:pPr>
              <w:jc w:val="right"/>
              <w:cnfStyle w:val="000000100000" w:firstRow="0" w:lastRow="0" w:firstColumn="0" w:lastColumn="0" w:oddVBand="0" w:evenVBand="0" w:oddHBand="1" w:evenHBand="0" w:firstRowFirstColumn="0" w:firstRowLastColumn="0" w:lastRowFirstColumn="0" w:lastRowLastColumn="0"/>
              <w:rPr>
                <w:b/>
              </w:rPr>
            </w:pPr>
            <w:r>
              <w:rPr>
                <w:rFonts w:ascii="Arial" w:hAnsi="Arial" w:cs="Arial"/>
                <w:b/>
                <w:color w:val="215868" w:themeColor="accent5" w:themeShade="80"/>
                <w:sz w:val="18"/>
                <w:szCs w:val="18"/>
              </w:rPr>
              <w:t>+</w:t>
            </w:r>
            <w:r w:rsidR="00C632A8">
              <w:rPr>
                <w:rFonts w:ascii="Arial" w:hAnsi="Arial" w:cs="Arial"/>
                <w:b/>
                <w:color w:val="215868" w:themeColor="accent5" w:themeShade="80"/>
                <w:sz w:val="18"/>
                <w:szCs w:val="18"/>
              </w:rPr>
              <w:t>2.2</w:t>
            </w:r>
            <w:r w:rsidRPr="00F15F7E">
              <w:rPr>
                <w:rFonts w:ascii="Arial" w:hAnsi="Arial" w:cs="Arial"/>
                <w:b/>
                <w:color w:val="215868" w:themeColor="accent5" w:themeShade="80"/>
                <w:sz w:val="18"/>
                <w:szCs w:val="18"/>
              </w:rPr>
              <w:t>%</w:t>
            </w:r>
          </w:p>
        </w:tc>
        <w:tc>
          <w:tcPr>
            <w:tcW w:w="726" w:type="dxa"/>
            <w:vAlign w:val="center"/>
          </w:tcPr>
          <w:p w14:paraId="17C6BC06" w14:textId="1AF63FF3" w:rsidR="00A11196" w:rsidRPr="00F15F7E" w:rsidRDefault="00A11196"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18"/>
              </w:rPr>
            </w:pPr>
            <w:r>
              <w:rPr>
                <w:rFonts w:ascii="Arial" w:hAnsi="Arial" w:cs="Arial"/>
                <w:b/>
                <w:color w:val="215868" w:themeColor="accent5" w:themeShade="80"/>
                <w:sz w:val="18"/>
                <w:szCs w:val="18"/>
              </w:rPr>
              <w:t>-</w:t>
            </w:r>
            <w:r w:rsidR="00C632A8">
              <w:rPr>
                <w:rFonts w:ascii="Arial" w:hAnsi="Arial" w:cs="Arial"/>
                <w:b/>
                <w:color w:val="215868" w:themeColor="accent5" w:themeShade="80"/>
                <w:sz w:val="18"/>
                <w:szCs w:val="18"/>
              </w:rPr>
              <w:t>2.4</w:t>
            </w:r>
            <w:r w:rsidRPr="00F15F7E">
              <w:rPr>
                <w:rFonts w:ascii="Arial" w:hAnsi="Arial" w:cs="Arial"/>
                <w:b/>
                <w:color w:val="215868" w:themeColor="accent5" w:themeShade="80"/>
                <w:sz w:val="18"/>
                <w:szCs w:val="18"/>
              </w:rPr>
              <w:t>%</w:t>
            </w:r>
          </w:p>
        </w:tc>
      </w:tr>
      <w:tr w:rsidR="00A11196" w14:paraId="1040E164" w14:textId="77777777" w:rsidTr="00481A57">
        <w:trPr>
          <w:trHeight w:val="246"/>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1FC4001D" w14:textId="3750ABB0" w:rsidR="00A11196" w:rsidRPr="002D1A1A" w:rsidRDefault="00A11196" w:rsidP="00A11196">
            <w:pPr>
              <w:pStyle w:val="NoSpacing"/>
              <w:rPr>
                <w:rFonts w:ascii="Arial" w:hAnsi="Arial" w:cs="Arial"/>
                <w:b w:val="0"/>
                <w:color w:val="215868" w:themeColor="accent5" w:themeShade="80"/>
                <w:sz w:val="18"/>
                <w:szCs w:val="18"/>
              </w:rPr>
            </w:pPr>
            <w:r w:rsidRPr="002D1A1A">
              <w:rPr>
                <w:rFonts w:ascii="Arial" w:hAnsi="Arial" w:cs="Arial"/>
                <w:b w:val="0"/>
                <w:color w:val="215868" w:themeColor="accent5" w:themeShade="80"/>
                <w:sz w:val="18"/>
                <w:szCs w:val="18"/>
              </w:rPr>
              <w:t>Fresh beef</w:t>
            </w:r>
          </w:p>
        </w:tc>
        <w:tc>
          <w:tcPr>
            <w:tcW w:w="740" w:type="dxa"/>
            <w:vAlign w:val="center"/>
          </w:tcPr>
          <w:p w14:paraId="3D451D8B" w14:textId="7C810B27" w:rsidR="00A11196" w:rsidRDefault="00A11196" w:rsidP="00A11196">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rPr>
              <w:t>+2</w:t>
            </w:r>
            <w:r w:rsidRPr="00FA4781">
              <w:rPr>
                <w:rFonts w:ascii="Arial" w:hAnsi="Arial" w:cs="Arial"/>
                <w:color w:val="215868" w:themeColor="accent5" w:themeShade="80"/>
                <w:sz w:val="18"/>
              </w:rPr>
              <w:t>%</w:t>
            </w:r>
          </w:p>
        </w:tc>
        <w:tc>
          <w:tcPr>
            <w:tcW w:w="784" w:type="dxa"/>
            <w:vAlign w:val="center"/>
          </w:tcPr>
          <w:p w14:paraId="1F8B4280" w14:textId="753335A3" w:rsidR="00A11196" w:rsidRDefault="00A11196" w:rsidP="00A11196">
            <w:pPr>
              <w:jc w:val="right"/>
              <w:cnfStyle w:val="000000000000" w:firstRow="0" w:lastRow="0" w:firstColumn="0" w:lastColumn="0" w:oddVBand="0" w:evenVBand="0" w:oddHBand="0" w:evenHBand="0" w:firstRowFirstColumn="0" w:firstRowLastColumn="0" w:lastRowFirstColumn="0" w:lastRowLastColumn="0"/>
            </w:pPr>
            <w:r w:rsidRPr="004258EB">
              <w:rPr>
                <w:rFonts w:ascii="Arial" w:hAnsi="Arial" w:cs="Arial"/>
                <w:color w:val="215868" w:themeColor="accent5" w:themeShade="80"/>
                <w:sz w:val="18"/>
              </w:rPr>
              <w:t>+</w:t>
            </w:r>
            <w:r>
              <w:rPr>
                <w:rFonts w:ascii="Arial" w:hAnsi="Arial" w:cs="Arial"/>
                <w:color w:val="215868" w:themeColor="accent5" w:themeShade="80"/>
                <w:sz w:val="18"/>
              </w:rPr>
              <w:t>24</w:t>
            </w:r>
            <w:r w:rsidRPr="004258EB">
              <w:rPr>
                <w:rFonts w:ascii="Arial" w:hAnsi="Arial" w:cs="Arial"/>
                <w:color w:val="215868" w:themeColor="accent5" w:themeShade="80"/>
                <w:sz w:val="18"/>
              </w:rPr>
              <w:t>%</w:t>
            </w:r>
          </w:p>
        </w:tc>
        <w:tc>
          <w:tcPr>
            <w:tcW w:w="709" w:type="dxa"/>
            <w:vAlign w:val="center"/>
          </w:tcPr>
          <w:p w14:paraId="3C82FCA5" w14:textId="7FEB889B" w:rsidR="00A11196" w:rsidRDefault="00A11196" w:rsidP="00A11196">
            <w:pPr>
              <w:jc w:val="right"/>
              <w:cnfStyle w:val="000000000000" w:firstRow="0" w:lastRow="0" w:firstColumn="0" w:lastColumn="0" w:oddVBand="0" w:evenVBand="0" w:oddHBand="0" w:evenHBand="0" w:firstRowFirstColumn="0" w:firstRowLastColumn="0" w:lastRowFirstColumn="0" w:lastRowLastColumn="0"/>
            </w:pPr>
            <w:r w:rsidRPr="009C56AC">
              <w:rPr>
                <w:rFonts w:ascii="Arial" w:hAnsi="Arial" w:cs="Arial"/>
                <w:color w:val="215868" w:themeColor="accent5" w:themeShade="80"/>
                <w:sz w:val="18"/>
              </w:rPr>
              <w:t>+</w:t>
            </w:r>
            <w:r w:rsidR="00274281">
              <w:rPr>
                <w:rFonts w:ascii="Arial" w:hAnsi="Arial" w:cs="Arial"/>
                <w:color w:val="215868" w:themeColor="accent5" w:themeShade="80"/>
                <w:sz w:val="18"/>
              </w:rPr>
              <w:t>2</w:t>
            </w:r>
            <w:r w:rsidRPr="009C56AC">
              <w:rPr>
                <w:rFonts w:ascii="Arial" w:hAnsi="Arial" w:cs="Arial"/>
                <w:color w:val="215868" w:themeColor="accent5" w:themeShade="80"/>
                <w:sz w:val="18"/>
              </w:rPr>
              <w:t>%</w:t>
            </w:r>
          </w:p>
        </w:tc>
        <w:tc>
          <w:tcPr>
            <w:tcW w:w="727" w:type="dxa"/>
            <w:vAlign w:val="center"/>
          </w:tcPr>
          <w:p w14:paraId="08231F1C" w14:textId="0703FDB6" w:rsidR="00A11196" w:rsidRDefault="00274281" w:rsidP="00A11196">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szCs w:val="18"/>
              </w:rPr>
              <w:t>-10</w:t>
            </w:r>
            <w:r w:rsidR="00A11196" w:rsidRPr="00E55912">
              <w:rPr>
                <w:rFonts w:ascii="Arial" w:hAnsi="Arial" w:cs="Arial"/>
                <w:color w:val="215868" w:themeColor="accent5" w:themeShade="80"/>
                <w:sz w:val="18"/>
                <w:szCs w:val="18"/>
              </w:rPr>
              <w:t>%</w:t>
            </w:r>
          </w:p>
        </w:tc>
        <w:tc>
          <w:tcPr>
            <w:tcW w:w="740" w:type="dxa"/>
            <w:vAlign w:val="center"/>
          </w:tcPr>
          <w:p w14:paraId="466D2E7E" w14:textId="7DB138A0" w:rsidR="00A11196" w:rsidRPr="00186F1E" w:rsidRDefault="00274281"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+2</w:t>
            </w:r>
            <w:r w:rsidR="00A11196">
              <w:rPr>
                <w:rFonts w:ascii="Arial" w:hAnsi="Arial" w:cs="Arial"/>
                <w:color w:val="215868" w:themeColor="accent5" w:themeShade="80"/>
                <w:sz w:val="18"/>
                <w:szCs w:val="18"/>
              </w:rPr>
              <w:t>%</w:t>
            </w:r>
          </w:p>
        </w:tc>
        <w:tc>
          <w:tcPr>
            <w:tcW w:w="741" w:type="dxa"/>
            <w:vAlign w:val="center"/>
          </w:tcPr>
          <w:p w14:paraId="659D6FE3" w14:textId="55C4BCE9" w:rsidR="00A11196" w:rsidRPr="00186F1E" w:rsidRDefault="00274281"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+7</w:t>
            </w:r>
            <w:r w:rsidR="00A11196">
              <w:rPr>
                <w:rFonts w:ascii="Arial" w:hAnsi="Arial" w:cs="Arial"/>
                <w:color w:val="215868" w:themeColor="accent5" w:themeShade="80"/>
                <w:sz w:val="18"/>
                <w:szCs w:val="18"/>
              </w:rPr>
              <w:t>%</w:t>
            </w:r>
          </w:p>
        </w:tc>
        <w:tc>
          <w:tcPr>
            <w:tcW w:w="740" w:type="dxa"/>
            <w:vAlign w:val="center"/>
          </w:tcPr>
          <w:p w14:paraId="63DA48AE" w14:textId="37009023" w:rsidR="00A11196" w:rsidRPr="00186F1E" w:rsidRDefault="00274281"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bCs/>
                <w:color w:val="215868" w:themeColor="accent5" w:themeShade="80"/>
                <w:sz w:val="18"/>
                <w:szCs w:val="18"/>
              </w:rPr>
              <w:t>+5</w:t>
            </w:r>
            <w:r w:rsidR="00A11196" w:rsidRPr="00475723">
              <w:rPr>
                <w:rFonts w:ascii="Arial" w:hAnsi="Arial" w:cs="Arial"/>
                <w:bCs/>
                <w:color w:val="215868" w:themeColor="accent5" w:themeShade="80"/>
                <w:sz w:val="18"/>
                <w:szCs w:val="18"/>
              </w:rPr>
              <w:t>%</w:t>
            </w:r>
          </w:p>
        </w:tc>
        <w:tc>
          <w:tcPr>
            <w:tcW w:w="740" w:type="dxa"/>
            <w:vAlign w:val="center"/>
          </w:tcPr>
          <w:p w14:paraId="5E04C2FD" w14:textId="0353F99D" w:rsidR="00A11196" w:rsidRPr="00DC6965" w:rsidRDefault="00274281"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+1</w:t>
            </w:r>
            <w:r w:rsidR="00A11196" w:rsidRPr="00475723">
              <w:rPr>
                <w:rFonts w:ascii="Arial" w:hAnsi="Arial" w:cs="Arial"/>
                <w:bCs/>
                <w:color w:val="215868" w:themeColor="accent5" w:themeShade="80"/>
                <w:sz w:val="18"/>
                <w:szCs w:val="18"/>
              </w:rPr>
              <w:t>%</w:t>
            </w:r>
          </w:p>
        </w:tc>
        <w:tc>
          <w:tcPr>
            <w:tcW w:w="741" w:type="dxa"/>
            <w:vAlign w:val="center"/>
          </w:tcPr>
          <w:p w14:paraId="15D086DE" w14:textId="428D9F3B" w:rsidR="00A11196" w:rsidRPr="00C84F6D" w:rsidRDefault="00C632A8"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+2.2</w:t>
            </w:r>
            <w:r w:rsidR="0036550E">
              <w:rPr>
                <w:rFonts w:ascii="Arial" w:hAnsi="Arial" w:cs="Arial"/>
                <w:bCs/>
                <w:color w:val="215868" w:themeColor="accent5" w:themeShade="80"/>
                <w:sz w:val="18"/>
                <w:szCs w:val="18"/>
              </w:rPr>
              <w:t>%</w:t>
            </w:r>
          </w:p>
        </w:tc>
        <w:tc>
          <w:tcPr>
            <w:tcW w:w="816" w:type="dxa"/>
            <w:vAlign w:val="center"/>
          </w:tcPr>
          <w:p w14:paraId="7CAF0E0F" w14:textId="6E39BD4D" w:rsidR="00A11196" w:rsidRDefault="00A11196"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2.3</w:t>
            </w:r>
            <w:r w:rsidRPr="00C84F6D">
              <w:rPr>
                <w:rFonts w:ascii="Arial" w:hAnsi="Arial" w:cs="Arial"/>
                <w:bCs/>
                <w:color w:val="215868" w:themeColor="accent5" w:themeShade="80"/>
                <w:sz w:val="18"/>
                <w:szCs w:val="18"/>
              </w:rPr>
              <w:t>B</w:t>
            </w:r>
          </w:p>
        </w:tc>
        <w:tc>
          <w:tcPr>
            <w:tcW w:w="854" w:type="dxa"/>
            <w:gridSpan w:val="2"/>
            <w:vAlign w:val="center"/>
          </w:tcPr>
          <w:p w14:paraId="482326A8" w14:textId="6E47E6A8" w:rsidR="00A11196" w:rsidRPr="00C84F6D" w:rsidRDefault="00A11196" w:rsidP="00A11196">
            <w:pPr>
              <w:jc w:val="right"/>
              <w:cnfStyle w:val="000000000000" w:firstRow="0" w:lastRow="0" w:firstColumn="0" w:lastColumn="0" w:oddVBand="0" w:evenVBand="0" w:oddHBand="0" w:evenHBand="0" w:firstRowFirstColumn="0" w:firstRowLastColumn="0" w:lastRowFirstColumn="0" w:lastRowLastColumn="0"/>
              <w:rPr>
                <w:bCs/>
              </w:rPr>
            </w:pPr>
            <w:r>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3.7</w:t>
            </w:r>
            <w:r w:rsidRPr="00C84F6D">
              <w:rPr>
                <w:rFonts w:ascii="Arial" w:hAnsi="Arial" w:cs="Arial"/>
                <w:bCs/>
                <w:color w:val="215868" w:themeColor="accent5" w:themeShade="80"/>
                <w:sz w:val="18"/>
                <w:szCs w:val="18"/>
              </w:rPr>
              <w:t>%</w:t>
            </w:r>
          </w:p>
        </w:tc>
        <w:tc>
          <w:tcPr>
            <w:tcW w:w="726" w:type="dxa"/>
            <w:vAlign w:val="center"/>
          </w:tcPr>
          <w:p w14:paraId="078EE702" w14:textId="56F000D1" w:rsidR="00A11196" w:rsidRPr="00C84F6D" w:rsidRDefault="00A11196" w:rsidP="00A11196">
            <w:pPr>
              <w:jc w:val="right"/>
              <w:cnfStyle w:val="000000000000" w:firstRow="0" w:lastRow="0" w:firstColumn="0" w:lastColumn="0" w:oddVBand="0" w:evenVBand="0" w:oddHBand="0" w:evenHBand="0" w:firstRowFirstColumn="0" w:firstRowLastColumn="0" w:lastRowFirstColumn="0" w:lastRowLastColumn="0"/>
              <w:rPr>
                <w:bCs/>
              </w:rPr>
            </w:pPr>
            <w:r>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2.8</w:t>
            </w:r>
            <w:r w:rsidRPr="00C84F6D">
              <w:rPr>
                <w:rFonts w:ascii="Arial" w:hAnsi="Arial" w:cs="Arial"/>
                <w:bCs/>
                <w:color w:val="215868" w:themeColor="accent5" w:themeShade="80"/>
                <w:sz w:val="18"/>
                <w:szCs w:val="18"/>
              </w:rPr>
              <w:t>%</w:t>
            </w:r>
          </w:p>
        </w:tc>
      </w:tr>
      <w:tr w:rsidR="00A11196" w14:paraId="51069827" w14:textId="77777777" w:rsidTr="00481A5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24136C82" w14:textId="5A593447" w:rsidR="00A11196" w:rsidRPr="002D1A1A" w:rsidRDefault="00A11196" w:rsidP="00A11196">
            <w:pPr>
              <w:pStyle w:val="NoSpacing"/>
              <w:rPr>
                <w:rFonts w:ascii="Arial" w:hAnsi="Arial" w:cs="Arial"/>
                <w:b w:val="0"/>
                <w:color w:val="215868" w:themeColor="accent5" w:themeShade="80"/>
                <w:sz w:val="18"/>
                <w:szCs w:val="18"/>
              </w:rPr>
            </w:pPr>
            <w:r w:rsidRPr="002D1A1A">
              <w:rPr>
                <w:rFonts w:ascii="Arial" w:hAnsi="Arial" w:cs="Arial"/>
                <w:b w:val="0"/>
                <w:color w:val="215868" w:themeColor="accent5" w:themeShade="80"/>
                <w:sz w:val="18"/>
                <w:szCs w:val="18"/>
              </w:rPr>
              <w:t>Fresh chicken</w:t>
            </w:r>
          </w:p>
        </w:tc>
        <w:tc>
          <w:tcPr>
            <w:tcW w:w="740" w:type="dxa"/>
            <w:vAlign w:val="center"/>
          </w:tcPr>
          <w:p w14:paraId="18366D07" w14:textId="1149739D" w:rsidR="00A11196" w:rsidRDefault="00A11196" w:rsidP="00A11196">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rPr>
              <w:t>+2</w:t>
            </w:r>
            <w:r w:rsidRPr="00FA4781">
              <w:rPr>
                <w:rFonts w:ascii="Arial" w:hAnsi="Arial" w:cs="Arial"/>
                <w:color w:val="215868" w:themeColor="accent5" w:themeShade="80"/>
                <w:sz w:val="18"/>
              </w:rPr>
              <w:t>%</w:t>
            </w:r>
          </w:p>
        </w:tc>
        <w:tc>
          <w:tcPr>
            <w:tcW w:w="784" w:type="dxa"/>
            <w:vAlign w:val="center"/>
          </w:tcPr>
          <w:p w14:paraId="7B01690D" w14:textId="6337F40F" w:rsidR="00A11196" w:rsidRDefault="00A11196" w:rsidP="00A11196">
            <w:pPr>
              <w:jc w:val="right"/>
              <w:cnfStyle w:val="000000100000" w:firstRow="0" w:lastRow="0" w:firstColumn="0" w:lastColumn="0" w:oddVBand="0" w:evenVBand="0" w:oddHBand="1" w:evenHBand="0" w:firstRowFirstColumn="0" w:firstRowLastColumn="0" w:lastRowFirstColumn="0" w:lastRowLastColumn="0"/>
            </w:pPr>
            <w:r w:rsidRPr="004258EB">
              <w:rPr>
                <w:rFonts w:ascii="Arial" w:hAnsi="Arial" w:cs="Arial"/>
                <w:color w:val="215868" w:themeColor="accent5" w:themeShade="80"/>
                <w:sz w:val="18"/>
              </w:rPr>
              <w:t>+</w:t>
            </w:r>
            <w:r>
              <w:rPr>
                <w:rFonts w:ascii="Arial" w:hAnsi="Arial" w:cs="Arial"/>
                <w:color w:val="215868" w:themeColor="accent5" w:themeShade="80"/>
                <w:sz w:val="18"/>
              </w:rPr>
              <w:t>15</w:t>
            </w:r>
            <w:r w:rsidRPr="004258EB">
              <w:rPr>
                <w:rFonts w:ascii="Arial" w:hAnsi="Arial" w:cs="Arial"/>
                <w:color w:val="215868" w:themeColor="accent5" w:themeShade="80"/>
                <w:sz w:val="18"/>
              </w:rPr>
              <w:t>%</w:t>
            </w:r>
          </w:p>
        </w:tc>
        <w:tc>
          <w:tcPr>
            <w:tcW w:w="709" w:type="dxa"/>
            <w:vAlign w:val="center"/>
          </w:tcPr>
          <w:p w14:paraId="00280AD1" w14:textId="7B0C671D" w:rsidR="00A11196" w:rsidRDefault="00274281" w:rsidP="00A11196">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rPr>
              <w:t>-2</w:t>
            </w:r>
            <w:r w:rsidR="00A11196" w:rsidRPr="009C56AC">
              <w:rPr>
                <w:rFonts w:ascii="Arial" w:hAnsi="Arial" w:cs="Arial"/>
                <w:color w:val="215868" w:themeColor="accent5" w:themeShade="80"/>
                <w:sz w:val="18"/>
              </w:rPr>
              <w:t>%</w:t>
            </w:r>
          </w:p>
        </w:tc>
        <w:tc>
          <w:tcPr>
            <w:tcW w:w="727" w:type="dxa"/>
            <w:vAlign w:val="center"/>
          </w:tcPr>
          <w:p w14:paraId="1B33A767" w14:textId="3A99B24A" w:rsidR="00A11196" w:rsidRDefault="00274281" w:rsidP="00A11196">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szCs w:val="18"/>
              </w:rPr>
              <w:t>-9</w:t>
            </w:r>
            <w:r w:rsidR="00A11196" w:rsidRPr="00E55912">
              <w:rPr>
                <w:rFonts w:ascii="Arial" w:hAnsi="Arial" w:cs="Arial"/>
                <w:color w:val="215868" w:themeColor="accent5" w:themeShade="80"/>
                <w:sz w:val="18"/>
                <w:szCs w:val="18"/>
              </w:rPr>
              <w:t>%</w:t>
            </w:r>
          </w:p>
        </w:tc>
        <w:tc>
          <w:tcPr>
            <w:tcW w:w="740" w:type="dxa"/>
            <w:vAlign w:val="center"/>
          </w:tcPr>
          <w:p w14:paraId="27A9EC18" w14:textId="73CC165B" w:rsidR="00A11196" w:rsidRPr="00186F1E" w:rsidRDefault="00A11196"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930B5D">
              <w:rPr>
                <w:rFonts w:ascii="Arial" w:hAnsi="Arial" w:cs="Arial"/>
                <w:color w:val="215868" w:themeColor="accent5" w:themeShade="80"/>
                <w:sz w:val="18"/>
                <w:szCs w:val="18"/>
              </w:rPr>
              <w:t>+</w:t>
            </w:r>
            <w:r w:rsidR="00274281">
              <w:rPr>
                <w:rFonts w:ascii="Arial" w:hAnsi="Arial" w:cs="Arial"/>
                <w:color w:val="215868" w:themeColor="accent5" w:themeShade="80"/>
                <w:sz w:val="18"/>
                <w:szCs w:val="18"/>
              </w:rPr>
              <w:t>4</w:t>
            </w:r>
            <w:r w:rsidRPr="00930B5D">
              <w:rPr>
                <w:rFonts w:ascii="Arial" w:hAnsi="Arial" w:cs="Arial"/>
                <w:color w:val="215868" w:themeColor="accent5" w:themeShade="80"/>
                <w:sz w:val="18"/>
                <w:szCs w:val="18"/>
              </w:rPr>
              <w:t>%</w:t>
            </w:r>
          </w:p>
        </w:tc>
        <w:tc>
          <w:tcPr>
            <w:tcW w:w="741" w:type="dxa"/>
            <w:vAlign w:val="center"/>
          </w:tcPr>
          <w:p w14:paraId="3CD31622" w14:textId="0BBCE4F3" w:rsidR="00A11196" w:rsidRPr="00186F1E" w:rsidRDefault="00274281"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+7</w:t>
            </w:r>
            <w:r w:rsidR="00A11196">
              <w:rPr>
                <w:rFonts w:ascii="Arial" w:hAnsi="Arial" w:cs="Arial"/>
                <w:color w:val="215868" w:themeColor="accent5" w:themeShade="80"/>
                <w:sz w:val="18"/>
                <w:szCs w:val="18"/>
              </w:rPr>
              <w:t>%</w:t>
            </w:r>
          </w:p>
        </w:tc>
        <w:tc>
          <w:tcPr>
            <w:tcW w:w="740" w:type="dxa"/>
            <w:vAlign w:val="center"/>
          </w:tcPr>
          <w:p w14:paraId="0904DFC9" w14:textId="43BA418B" w:rsidR="00A11196" w:rsidRPr="00186F1E" w:rsidRDefault="00274281"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bCs/>
                <w:color w:val="215868" w:themeColor="accent5" w:themeShade="80"/>
                <w:sz w:val="18"/>
                <w:szCs w:val="18"/>
              </w:rPr>
              <w:t>+9</w:t>
            </w:r>
            <w:r w:rsidR="00A11196" w:rsidRPr="00475723">
              <w:rPr>
                <w:rFonts w:ascii="Arial" w:hAnsi="Arial" w:cs="Arial"/>
                <w:bCs/>
                <w:color w:val="215868" w:themeColor="accent5" w:themeShade="80"/>
                <w:sz w:val="18"/>
                <w:szCs w:val="18"/>
              </w:rPr>
              <w:t>%</w:t>
            </w:r>
          </w:p>
        </w:tc>
        <w:tc>
          <w:tcPr>
            <w:tcW w:w="740" w:type="dxa"/>
            <w:vAlign w:val="center"/>
          </w:tcPr>
          <w:p w14:paraId="1B7C7E27" w14:textId="7F2F8664" w:rsidR="00A11196" w:rsidRPr="00DC6965" w:rsidRDefault="00A11196"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sidRPr="00695AE5">
              <w:rPr>
                <w:rFonts w:ascii="Arial" w:hAnsi="Arial" w:cs="Arial"/>
                <w:bCs/>
                <w:color w:val="215868" w:themeColor="accent5" w:themeShade="80"/>
                <w:sz w:val="18"/>
                <w:szCs w:val="18"/>
              </w:rPr>
              <w:t>+</w:t>
            </w:r>
            <w:r>
              <w:rPr>
                <w:rFonts w:ascii="Arial" w:hAnsi="Arial" w:cs="Arial"/>
                <w:bCs/>
                <w:color w:val="215868" w:themeColor="accent5" w:themeShade="80"/>
                <w:sz w:val="18"/>
                <w:szCs w:val="18"/>
              </w:rPr>
              <w:t>17</w:t>
            </w:r>
            <w:r w:rsidRPr="00695AE5">
              <w:rPr>
                <w:rFonts w:ascii="Arial" w:hAnsi="Arial" w:cs="Arial"/>
                <w:bCs/>
                <w:color w:val="215868" w:themeColor="accent5" w:themeShade="80"/>
                <w:sz w:val="18"/>
                <w:szCs w:val="18"/>
              </w:rPr>
              <w:t>%</w:t>
            </w:r>
          </w:p>
        </w:tc>
        <w:tc>
          <w:tcPr>
            <w:tcW w:w="741" w:type="dxa"/>
            <w:vAlign w:val="center"/>
          </w:tcPr>
          <w:p w14:paraId="5E9D245E" w14:textId="4CE05712" w:rsidR="00A11196" w:rsidRPr="00C84F6D" w:rsidRDefault="00C632A8"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+4.1</w:t>
            </w:r>
            <w:r w:rsidR="0036550E">
              <w:rPr>
                <w:rFonts w:ascii="Arial" w:hAnsi="Arial" w:cs="Arial"/>
                <w:bCs/>
                <w:color w:val="215868" w:themeColor="accent5" w:themeShade="80"/>
                <w:sz w:val="18"/>
                <w:szCs w:val="18"/>
              </w:rPr>
              <w:t>%</w:t>
            </w:r>
          </w:p>
        </w:tc>
        <w:tc>
          <w:tcPr>
            <w:tcW w:w="816" w:type="dxa"/>
            <w:vAlign w:val="center"/>
          </w:tcPr>
          <w:p w14:paraId="46D4C4CC" w14:textId="58CEE477" w:rsidR="00A11196" w:rsidRPr="00C84F6D" w:rsidRDefault="00A11196"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1.3</w:t>
            </w:r>
            <w:r w:rsidRPr="00C84F6D">
              <w:rPr>
                <w:rFonts w:ascii="Arial" w:hAnsi="Arial" w:cs="Arial"/>
                <w:bCs/>
                <w:color w:val="215868" w:themeColor="accent5" w:themeShade="80"/>
                <w:sz w:val="18"/>
                <w:szCs w:val="18"/>
              </w:rPr>
              <w:t>B</w:t>
            </w:r>
          </w:p>
        </w:tc>
        <w:tc>
          <w:tcPr>
            <w:tcW w:w="854" w:type="dxa"/>
            <w:gridSpan w:val="2"/>
            <w:vAlign w:val="center"/>
          </w:tcPr>
          <w:p w14:paraId="1B09D5CC" w14:textId="39D00677" w:rsidR="00A11196" w:rsidRPr="00C84F6D" w:rsidRDefault="00A11196" w:rsidP="00A11196">
            <w:pPr>
              <w:jc w:val="right"/>
              <w:cnfStyle w:val="000000100000" w:firstRow="0" w:lastRow="0" w:firstColumn="0" w:lastColumn="0" w:oddVBand="0" w:evenVBand="0" w:oddHBand="1" w:evenHBand="0" w:firstRowFirstColumn="0" w:firstRowLastColumn="0" w:lastRowFirstColumn="0" w:lastRowLastColumn="0"/>
              <w:rPr>
                <w:bCs/>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17.4</w:t>
            </w:r>
            <w:r w:rsidRPr="00C84F6D">
              <w:rPr>
                <w:rFonts w:ascii="Arial" w:hAnsi="Arial" w:cs="Arial"/>
                <w:bCs/>
                <w:color w:val="215868" w:themeColor="accent5" w:themeShade="80"/>
                <w:sz w:val="18"/>
                <w:szCs w:val="18"/>
              </w:rPr>
              <w:t>%</w:t>
            </w:r>
          </w:p>
        </w:tc>
        <w:tc>
          <w:tcPr>
            <w:tcW w:w="726" w:type="dxa"/>
            <w:vAlign w:val="center"/>
          </w:tcPr>
          <w:p w14:paraId="635BBA4A" w14:textId="26DF5DC1" w:rsidR="00A11196" w:rsidRPr="00C84F6D" w:rsidRDefault="00A11196" w:rsidP="00A11196">
            <w:pPr>
              <w:jc w:val="right"/>
              <w:cnfStyle w:val="000000100000" w:firstRow="0" w:lastRow="0" w:firstColumn="0" w:lastColumn="0" w:oddVBand="0" w:evenVBand="0" w:oddHBand="1" w:evenHBand="0" w:firstRowFirstColumn="0" w:firstRowLastColumn="0" w:lastRowFirstColumn="0" w:lastRowLastColumn="0"/>
              <w:rPr>
                <w:bCs/>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1.6</w:t>
            </w:r>
            <w:r w:rsidRPr="00C84F6D">
              <w:rPr>
                <w:rFonts w:ascii="Arial" w:hAnsi="Arial" w:cs="Arial"/>
                <w:bCs/>
                <w:color w:val="215868" w:themeColor="accent5" w:themeShade="80"/>
                <w:sz w:val="18"/>
                <w:szCs w:val="18"/>
              </w:rPr>
              <w:t>%</w:t>
            </w:r>
          </w:p>
        </w:tc>
      </w:tr>
      <w:tr w:rsidR="00A11196" w14:paraId="231E3BD4" w14:textId="77777777" w:rsidTr="00481A57">
        <w:trPr>
          <w:trHeight w:val="246"/>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0507DFE5" w14:textId="07B7895F" w:rsidR="00A11196" w:rsidRPr="002D1A1A" w:rsidRDefault="00A11196" w:rsidP="00A11196">
            <w:pPr>
              <w:pStyle w:val="NoSpacing"/>
              <w:rPr>
                <w:rFonts w:ascii="Arial" w:hAnsi="Arial" w:cs="Arial"/>
                <w:b w:val="0"/>
                <w:color w:val="215868" w:themeColor="accent5" w:themeShade="80"/>
                <w:sz w:val="18"/>
                <w:szCs w:val="18"/>
              </w:rPr>
            </w:pPr>
            <w:r w:rsidRPr="002D1A1A">
              <w:rPr>
                <w:rFonts w:ascii="Arial" w:hAnsi="Arial" w:cs="Arial"/>
                <w:b w:val="0"/>
                <w:color w:val="215868" w:themeColor="accent5" w:themeShade="80"/>
                <w:sz w:val="18"/>
                <w:szCs w:val="18"/>
              </w:rPr>
              <w:t>Fresh pork</w:t>
            </w:r>
          </w:p>
        </w:tc>
        <w:tc>
          <w:tcPr>
            <w:tcW w:w="740" w:type="dxa"/>
            <w:vAlign w:val="center"/>
          </w:tcPr>
          <w:p w14:paraId="1A2511DC" w14:textId="2FCF21FB" w:rsidR="00A11196" w:rsidRDefault="00A11196" w:rsidP="00A11196">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rPr>
              <w:t>+0</w:t>
            </w:r>
            <w:r w:rsidRPr="00FA4781">
              <w:rPr>
                <w:rFonts w:ascii="Arial" w:hAnsi="Arial" w:cs="Arial"/>
                <w:color w:val="215868" w:themeColor="accent5" w:themeShade="80"/>
                <w:sz w:val="18"/>
              </w:rPr>
              <w:t>%</w:t>
            </w:r>
          </w:p>
        </w:tc>
        <w:tc>
          <w:tcPr>
            <w:tcW w:w="784" w:type="dxa"/>
            <w:vAlign w:val="center"/>
          </w:tcPr>
          <w:p w14:paraId="1B2AEB35" w14:textId="5B68CE6B" w:rsidR="00A11196" w:rsidRDefault="00A11196" w:rsidP="00A11196">
            <w:pPr>
              <w:jc w:val="right"/>
              <w:cnfStyle w:val="000000000000" w:firstRow="0" w:lastRow="0" w:firstColumn="0" w:lastColumn="0" w:oddVBand="0" w:evenVBand="0" w:oddHBand="0" w:evenHBand="0" w:firstRowFirstColumn="0" w:firstRowLastColumn="0" w:lastRowFirstColumn="0" w:lastRowLastColumn="0"/>
            </w:pPr>
            <w:r w:rsidRPr="004258EB">
              <w:rPr>
                <w:rFonts w:ascii="Arial" w:hAnsi="Arial" w:cs="Arial"/>
                <w:color w:val="215868" w:themeColor="accent5" w:themeShade="80"/>
                <w:sz w:val="18"/>
              </w:rPr>
              <w:t>+</w:t>
            </w:r>
            <w:r>
              <w:rPr>
                <w:rFonts w:ascii="Arial" w:hAnsi="Arial" w:cs="Arial"/>
                <w:color w:val="215868" w:themeColor="accent5" w:themeShade="80"/>
                <w:sz w:val="18"/>
              </w:rPr>
              <w:t>19</w:t>
            </w:r>
            <w:r w:rsidRPr="004258EB">
              <w:rPr>
                <w:rFonts w:ascii="Arial" w:hAnsi="Arial" w:cs="Arial"/>
                <w:color w:val="215868" w:themeColor="accent5" w:themeShade="80"/>
                <w:sz w:val="18"/>
              </w:rPr>
              <w:t>%</w:t>
            </w:r>
          </w:p>
        </w:tc>
        <w:tc>
          <w:tcPr>
            <w:tcW w:w="709" w:type="dxa"/>
            <w:vAlign w:val="center"/>
          </w:tcPr>
          <w:p w14:paraId="588E1244" w14:textId="6D4AEFA2" w:rsidR="00A11196" w:rsidRDefault="00274281" w:rsidP="00A11196">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rPr>
              <w:t>-2</w:t>
            </w:r>
            <w:r w:rsidR="00A11196" w:rsidRPr="009C56AC">
              <w:rPr>
                <w:rFonts w:ascii="Arial" w:hAnsi="Arial" w:cs="Arial"/>
                <w:color w:val="215868" w:themeColor="accent5" w:themeShade="80"/>
                <w:sz w:val="18"/>
              </w:rPr>
              <w:t>%</w:t>
            </w:r>
          </w:p>
        </w:tc>
        <w:tc>
          <w:tcPr>
            <w:tcW w:w="727" w:type="dxa"/>
            <w:vAlign w:val="center"/>
          </w:tcPr>
          <w:p w14:paraId="5D5F9584" w14:textId="1FFE0F3D" w:rsidR="00A11196" w:rsidRDefault="00274281" w:rsidP="00A11196">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szCs w:val="18"/>
              </w:rPr>
              <w:t>-14</w:t>
            </w:r>
            <w:r w:rsidR="00A11196" w:rsidRPr="00E55912">
              <w:rPr>
                <w:rFonts w:ascii="Arial" w:hAnsi="Arial" w:cs="Arial"/>
                <w:color w:val="215868" w:themeColor="accent5" w:themeShade="80"/>
                <w:sz w:val="18"/>
                <w:szCs w:val="18"/>
              </w:rPr>
              <w:t>%</w:t>
            </w:r>
          </w:p>
        </w:tc>
        <w:tc>
          <w:tcPr>
            <w:tcW w:w="740" w:type="dxa"/>
            <w:vAlign w:val="center"/>
          </w:tcPr>
          <w:p w14:paraId="36F7C87D" w14:textId="7C93D19D" w:rsidR="00A11196" w:rsidRPr="00430A9C" w:rsidRDefault="00A11196"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930B5D">
              <w:rPr>
                <w:rFonts w:ascii="Arial" w:hAnsi="Arial" w:cs="Arial"/>
                <w:color w:val="215868" w:themeColor="accent5" w:themeShade="80"/>
                <w:sz w:val="18"/>
                <w:szCs w:val="18"/>
              </w:rPr>
              <w:t>+</w:t>
            </w:r>
            <w:r w:rsidR="00274281">
              <w:rPr>
                <w:rFonts w:ascii="Arial" w:hAnsi="Arial" w:cs="Arial"/>
                <w:color w:val="215868" w:themeColor="accent5" w:themeShade="80"/>
                <w:sz w:val="18"/>
                <w:szCs w:val="18"/>
              </w:rPr>
              <w:t>5</w:t>
            </w:r>
            <w:r w:rsidRPr="00930B5D">
              <w:rPr>
                <w:rFonts w:ascii="Arial" w:hAnsi="Arial" w:cs="Arial"/>
                <w:color w:val="215868" w:themeColor="accent5" w:themeShade="80"/>
                <w:sz w:val="18"/>
                <w:szCs w:val="18"/>
              </w:rPr>
              <w:t>%</w:t>
            </w:r>
          </w:p>
        </w:tc>
        <w:tc>
          <w:tcPr>
            <w:tcW w:w="741" w:type="dxa"/>
            <w:vAlign w:val="center"/>
          </w:tcPr>
          <w:p w14:paraId="5AD32D96" w14:textId="7904ED73" w:rsidR="00A11196" w:rsidRPr="00430A9C" w:rsidRDefault="00274281"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+8</w:t>
            </w:r>
            <w:r w:rsidR="00A11196">
              <w:rPr>
                <w:rFonts w:ascii="Arial" w:hAnsi="Arial" w:cs="Arial"/>
                <w:color w:val="215868" w:themeColor="accent5" w:themeShade="80"/>
                <w:sz w:val="18"/>
                <w:szCs w:val="18"/>
              </w:rPr>
              <w:t>%</w:t>
            </w:r>
          </w:p>
        </w:tc>
        <w:tc>
          <w:tcPr>
            <w:tcW w:w="740" w:type="dxa"/>
            <w:vAlign w:val="center"/>
          </w:tcPr>
          <w:p w14:paraId="7288CCF3" w14:textId="4B0E092F" w:rsidR="00A11196" w:rsidRPr="00186F1E" w:rsidRDefault="00274281"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bCs/>
                <w:color w:val="215868" w:themeColor="accent5" w:themeShade="80"/>
                <w:sz w:val="18"/>
                <w:szCs w:val="18"/>
              </w:rPr>
              <w:t>+7</w:t>
            </w:r>
            <w:r w:rsidR="00A11196" w:rsidRPr="00475723">
              <w:rPr>
                <w:rFonts w:ascii="Arial" w:hAnsi="Arial" w:cs="Arial"/>
                <w:bCs/>
                <w:color w:val="215868" w:themeColor="accent5" w:themeShade="80"/>
                <w:sz w:val="18"/>
                <w:szCs w:val="18"/>
              </w:rPr>
              <w:t>%</w:t>
            </w:r>
          </w:p>
        </w:tc>
        <w:tc>
          <w:tcPr>
            <w:tcW w:w="740" w:type="dxa"/>
            <w:vAlign w:val="center"/>
          </w:tcPr>
          <w:p w14:paraId="344B55F4" w14:textId="38887A49" w:rsidR="00A11196" w:rsidRPr="00DC6965" w:rsidRDefault="00A11196"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695AE5">
              <w:rPr>
                <w:rFonts w:ascii="Arial" w:hAnsi="Arial" w:cs="Arial"/>
                <w:bCs/>
                <w:color w:val="215868" w:themeColor="accent5" w:themeShade="80"/>
                <w:sz w:val="18"/>
                <w:szCs w:val="18"/>
              </w:rPr>
              <w:t>+</w:t>
            </w:r>
            <w:r w:rsidR="00274281">
              <w:rPr>
                <w:rFonts w:ascii="Arial" w:hAnsi="Arial" w:cs="Arial"/>
                <w:bCs/>
                <w:color w:val="215868" w:themeColor="accent5" w:themeShade="80"/>
                <w:sz w:val="18"/>
                <w:szCs w:val="18"/>
              </w:rPr>
              <w:t>3</w:t>
            </w:r>
            <w:r w:rsidRPr="00695AE5">
              <w:rPr>
                <w:rFonts w:ascii="Arial" w:hAnsi="Arial" w:cs="Arial"/>
                <w:bCs/>
                <w:color w:val="215868" w:themeColor="accent5" w:themeShade="80"/>
                <w:sz w:val="18"/>
                <w:szCs w:val="18"/>
              </w:rPr>
              <w:t>%</w:t>
            </w:r>
          </w:p>
        </w:tc>
        <w:tc>
          <w:tcPr>
            <w:tcW w:w="741" w:type="dxa"/>
            <w:vAlign w:val="center"/>
          </w:tcPr>
          <w:p w14:paraId="2030A721" w14:textId="3351F1C4" w:rsidR="00A11196" w:rsidRPr="00C84F6D" w:rsidRDefault="00C632A8"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+5.1</w:t>
            </w:r>
            <w:r w:rsidR="0036550E">
              <w:rPr>
                <w:rFonts w:ascii="Arial" w:hAnsi="Arial" w:cs="Arial"/>
                <w:bCs/>
                <w:color w:val="215868" w:themeColor="accent5" w:themeShade="80"/>
                <w:sz w:val="18"/>
                <w:szCs w:val="18"/>
              </w:rPr>
              <w:t>%</w:t>
            </w:r>
          </w:p>
        </w:tc>
        <w:tc>
          <w:tcPr>
            <w:tcW w:w="816" w:type="dxa"/>
            <w:vAlign w:val="center"/>
          </w:tcPr>
          <w:p w14:paraId="577037E8" w14:textId="62C91D04" w:rsidR="00A11196" w:rsidRDefault="00A11196"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577</w:t>
            </w:r>
            <w:r>
              <w:rPr>
                <w:rFonts w:ascii="Arial" w:hAnsi="Arial" w:cs="Arial"/>
                <w:bCs/>
                <w:color w:val="215868" w:themeColor="accent5" w:themeShade="80"/>
                <w:sz w:val="18"/>
                <w:szCs w:val="18"/>
              </w:rPr>
              <w:t>M</w:t>
            </w:r>
          </w:p>
        </w:tc>
        <w:tc>
          <w:tcPr>
            <w:tcW w:w="854" w:type="dxa"/>
            <w:gridSpan w:val="2"/>
            <w:vAlign w:val="center"/>
          </w:tcPr>
          <w:p w14:paraId="052B70FB" w14:textId="1F21A56A" w:rsidR="00A11196" w:rsidRPr="00C84F6D" w:rsidRDefault="00A11196" w:rsidP="00A11196">
            <w:pPr>
              <w:jc w:val="right"/>
              <w:cnfStyle w:val="000000000000" w:firstRow="0" w:lastRow="0" w:firstColumn="0" w:lastColumn="0" w:oddVBand="0" w:evenVBand="0" w:oddHBand="0" w:evenHBand="0" w:firstRowFirstColumn="0" w:firstRowLastColumn="0" w:lastRowFirstColumn="0" w:lastRowLastColumn="0"/>
              <w:rPr>
                <w:bCs/>
              </w:rPr>
            </w:pPr>
            <w:r>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1.4</w:t>
            </w:r>
            <w:r w:rsidRPr="00C84F6D">
              <w:rPr>
                <w:rFonts w:ascii="Arial" w:hAnsi="Arial" w:cs="Arial"/>
                <w:bCs/>
                <w:color w:val="215868" w:themeColor="accent5" w:themeShade="80"/>
                <w:sz w:val="18"/>
                <w:szCs w:val="18"/>
              </w:rPr>
              <w:t>%</w:t>
            </w:r>
          </w:p>
        </w:tc>
        <w:tc>
          <w:tcPr>
            <w:tcW w:w="726" w:type="dxa"/>
            <w:vAlign w:val="center"/>
          </w:tcPr>
          <w:p w14:paraId="6E99F378" w14:textId="0404C951" w:rsidR="00A11196" w:rsidRPr="00C84F6D" w:rsidRDefault="00A11196" w:rsidP="00A11196">
            <w:pPr>
              <w:jc w:val="right"/>
              <w:cnfStyle w:val="000000000000" w:firstRow="0" w:lastRow="0" w:firstColumn="0" w:lastColumn="0" w:oddVBand="0" w:evenVBand="0" w:oddHBand="0" w:evenHBand="0" w:firstRowFirstColumn="0" w:firstRowLastColumn="0" w:lastRowFirstColumn="0" w:lastRowLastColumn="0"/>
              <w:rPr>
                <w:bCs/>
              </w:rPr>
            </w:pPr>
            <w:r>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1.7</w:t>
            </w:r>
            <w:r w:rsidRPr="00C84F6D">
              <w:rPr>
                <w:rFonts w:ascii="Arial" w:hAnsi="Arial" w:cs="Arial"/>
                <w:bCs/>
                <w:color w:val="215868" w:themeColor="accent5" w:themeShade="80"/>
                <w:sz w:val="18"/>
                <w:szCs w:val="18"/>
              </w:rPr>
              <w:t>%</w:t>
            </w:r>
          </w:p>
        </w:tc>
      </w:tr>
      <w:tr w:rsidR="00A11196" w14:paraId="1A33B11F" w14:textId="77777777" w:rsidTr="00481A5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59EA09F5" w14:textId="391426D3" w:rsidR="00A11196" w:rsidRPr="002D1A1A" w:rsidRDefault="00A11196" w:rsidP="00A11196">
            <w:pPr>
              <w:pStyle w:val="NoSpacing"/>
              <w:rPr>
                <w:rFonts w:ascii="Arial" w:hAnsi="Arial" w:cs="Arial"/>
                <w:b w:val="0"/>
                <w:color w:val="215868" w:themeColor="accent5" w:themeShade="80"/>
                <w:sz w:val="18"/>
                <w:szCs w:val="18"/>
              </w:rPr>
            </w:pPr>
            <w:r w:rsidRPr="002D1A1A">
              <w:rPr>
                <w:rFonts w:ascii="Arial" w:hAnsi="Arial" w:cs="Arial"/>
                <w:b w:val="0"/>
                <w:color w:val="215868" w:themeColor="accent5" w:themeShade="80"/>
                <w:sz w:val="18"/>
                <w:szCs w:val="18"/>
              </w:rPr>
              <w:t>Fresh turkey</w:t>
            </w:r>
          </w:p>
        </w:tc>
        <w:tc>
          <w:tcPr>
            <w:tcW w:w="740" w:type="dxa"/>
            <w:vAlign w:val="center"/>
          </w:tcPr>
          <w:p w14:paraId="028CE2F6" w14:textId="303D0B03" w:rsidR="00A11196" w:rsidRDefault="00A11196" w:rsidP="00A11196">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rPr>
              <w:t>-1</w:t>
            </w:r>
            <w:r w:rsidRPr="00FA4781">
              <w:rPr>
                <w:rFonts w:ascii="Arial" w:hAnsi="Arial" w:cs="Arial"/>
                <w:color w:val="215868" w:themeColor="accent5" w:themeShade="80"/>
                <w:sz w:val="18"/>
              </w:rPr>
              <w:t>%</w:t>
            </w:r>
          </w:p>
        </w:tc>
        <w:tc>
          <w:tcPr>
            <w:tcW w:w="784" w:type="dxa"/>
            <w:vAlign w:val="center"/>
          </w:tcPr>
          <w:p w14:paraId="71EB9A81" w14:textId="5BBE8AE5" w:rsidR="00A11196" w:rsidRDefault="00A11196" w:rsidP="00A11196">
            <w:pPr>
              <w:jc w:val="right"/>
              <w:cnfStyle w:val="000000100000" w:firstRow="0" w:lastRow="0" w:firstColumn="0" w:lastColumn="0" w:oddVBand="0" w:evenVBand="0" w:oddHBand="1" w:evenHBand="0" w:firstRowFirstColumn="0" w:firstRowLastColumn="0" w:lastRowFirstColumn="0" w:lastRowLastColumn="0"/>
            </w:pPr>
            <w:r w:rsidRPr="004258EB">
              <w:rPr>
                <w:rFonts w:ascii="Arial" w:hAnsi="Arial" w:cs="Arial"/>
                <w:color w:val="215868" w:themeColor="accent5" w:themeShade="80"/>
                <w:sz w:val="18"/>
              </w:rPr>
              <w:t>+</w:t>
            </w:r>
            <w:r>
              <w:rPr>
                <w:rFonts w:ascii="Arial" w:hAnsi="Arial" w:cs="Arial"/>
                <w:color w:val="215868" w:themeColor="accent5" w:themeShade="80"/>
                <w:sz w:val="18"/>
              </w:rPr>
              <w:t>14</w:t>
            </w:r>
            <w:r w:rsidRPr="004258EB">
              <w:rPr>
                <w:rFonts w:ascii="Arial" w:hAnsi="Arial" w:cs="Arial"/>
                <w:color w:val="215868" w:themeColor="accent5" w:themeShade="80"/>
                <w:sz w:val="18"/>
              </w:rPr>
              <w:t>%</w:t>
            </w:r>
          </w:p>
        </w:tc>
        <w:tc>
          <w:tcPr>
            <w:tcW w:w="709" w:type="dxa"/>
            <w:vAlign w:val="center"/>
          </w:tcPr>
          <w:p w14:paraId="76934E55" w14:textId="7FBD107B" w:rsidR="00A11196" w:rsidRDefault="00274281" w:rsidP="00A11196">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rPr>
              <w:t>-7</w:t>
            </w:r>
            <w:r w:rsidR="00A11196" w:rsidRPr="009C56AC">
              <w:rPr>
                <w:rFonts w:ascii="Arial" w:hAnsi="Arial" w:cs="Arial"/>
                <w:color w:val="215868" w:themeColor="accent5" w:themeShade="80"/>
                <w:sz w:val="18"/>
              </w:rPr>
              <w:t>%</w:t>
            </w:r>
          </w:p>
        </w:tc>
        <w:tc>
          <w:tcPr>
            <w:tcW w:w="727" w:type="dxa"/>
            <w:vAlign w:val="center"/>
          </w:tcPr>
          <w:p w14:paraId="0C311362" w14:textId="59F55923" w:rsidR="00A11196" w:rsidRDefault="00274281" w:rsidP="00A11196">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szCs w:val="18"/>
              </w:rPr>
              <w:t>-17</w:t>
            </w:r>
            <w:r w:rsidR="00A11196" w:rsidRPr="00E55912">
              <w:rPr>
                <w:rFonts w:ascii="Arial" w:hAnsi="Arial" w:cs="Arial"/>
                <w:color w:val="215868" w:themeColor="accent5" w:themeShade="80"/>
                <w:sz w:val="18"/>
                <w:szCs w:val="18"/>
              </w:rPr>
              <w:t>%</w:t>
            </w:r>
          </w:p>
        </w:tc>
        <w:tc>
          <w:tcPr>
            <w:tcW w:w="740" w:type="dxa"/>
            <w:vAlign w:val="center"/>
          </w:tcPr>
          <w:p w14:paraId="51C15DDC" w14:textId="487B38EE" w:rsidR="00A11196" w:rsidRPr="00430A9C" w:rsidRDefault="00A11196"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930B5D">
              <w:rPr>
                <w:rFonts w:ascii="Arial" w:hAnsi="Arial" w:cs="Arial"/>
                <w:color w:val="215868" w:themeColor="accent5" w:themeShade="80"/>
                <w:sz w:val="18"/>
                <w:szCs w:val="18"/>
              </w:rPr>
              <w:t>+</w:t>
            </w:r>
            <w:r w:rsidR="00274281">
              <w:rPr>
                <w:rFonts w:ascii="Arial" w:hAnsi="Arial" w:cs="Arial"/>
                <w:color w:val="215868" w:themeColor="accent5" w:themeShade="80"/>
                <w:sz w:val="18"/>
                <w:szCs w:val="18"/>
              </w:rPr>
              <w:t>1</w:t>
            </w:r>
            <w:r w:rsidRPr="00930B5D">
              <w:rPr>
                <w:rFonts w:ascii="Arial" w:hAnsi="Arial" w:cs="Arial"/>
                <w:color w:val="215868" w:themeColor="accent5" w:themeShade="80"/>
                <w:sz w:val="18"/>
                <w:szCs w:val="18"/>
              </w:rPr>
              <w:t>%</w:t>
            </w:r>
          </w:p>
        </w:tc>
        <w:tc>
          <w:tcPr>
            <w:tcW w:w="741" w:type="dxa"/>
            <w:vAlign w:val="center"/>
          </w:tcPr>
          <w:p w14:paraId="023A90CD" w14:textId="0E7D9418" w:rsidR="00A11196" w:rsidRPr="00430A9C" w:rsidRDefault="00274281"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+4</w:t>
            </w:r>
            <w:r w:rsidR="00A11196">
              <w:rPr>
                <w:rFonts w:ascii="Arial" w:hAnsi="Arial" w:cs="Arial"/>
                <w:color w:val="215868" w:themeColor="accent5" w:themeShade="80"/>
                <w:sz w:val="18"/>
                <w:szCs w:val="18"/>
              </w:rPr>
              <w:t>%</w:t>
            </w:r>
          </w:p>
        </w:tc>
        <w:tc>
          <w:tcPr>
            <w:tcW w:w="740" w:type="dxa"/>
            <w:vAlign w:val="center"/>
          </w:tcPr>
          <w:p w14:paraId="1BD1ADB7" w14:textId="7DCA888A" w:rsidR="00A11196" w:rsidRPr="00186F1E" w:rsidRDefault="00274281"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bCs/>
                <w:color w:val="215868" w:themeColor="accent5" w:themeShade="80"/>
                <w:sz w:val="18"/>
                <w:szCs w:val="18"/>
              </w:rPr>
              <w:t>+7</w:t>
            </w:r>
            <w:r w:rsidR="00A11196" w:rsidRPr="00475723">
              <w:rPr>
                <w:rFonts w:ascii="Arial" w:hAnsi="Arial" w:cs="Arial"/>
                <w:bCs/>
                <w:color w:val="215868" w:themeColor="accent5" w:themeShade="80"/>
                <w:sz w:val="18"/>
                <w:szCs w:val="18"/>
              </w:rPr>
              <w:t>%</w:t>
            </w:r>
          </w:p>
        </w:tc>
        <w:tc>
          <w:tcPr>
            <w:tcW w:w="740" w:type="dxa"/>
            <w:vAlign w:val="center"/>
          </w:tcPr>
          <w:p w14:paraId="6ADAB229" w14:textId="262270B3" w:rsidR="00A11196" w:rsidRPr="00DC6965" w:rsidRDefault="00A11196"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sidRPr="00695AE5">
              <w:rPr>
                <w:rFonts w:ascii="Arial" w:hAnsi="Arial" w:cs="Arial"/>
                <w:bCs/>
                <w:color w:val="215868" w:themeColor="accent5" w:themeShade="80"/>
                <w:sz w:val="18"/>
                <w:szCs w:val="18"/>
              </w:rPr>
              <w:t>+</w:t>
            </w:r>
            <w:r w:rsidR="00274281">
              <w:rPr>
                <w:rFonts w:ascii="Arial" w:hAnsi="Arial" w:cs="Arial"/>
                <w:bCs/>
                <w:color w:val="215868" w:themeColor="accent5" w:themeShade="80"/>
                <w:sz w:val="18"/>
                <w:szCs w:val="18"/>
              </w:rPr>
              <w:t>10</w:t>
            </w:r>
            <w:r w:rsidRPr="00695AE5">
              <w:rPr>
                <w:rFonts w:ascii="Arial" w:hAnsi="Arial" w:cs="Arial"/>
                <w:bCs/>
                <w:color w:val="215868" w:themeColor="accent5" w:themeShade="80"/>
                <w:sz w:val="18"/>
                <w:szCs w:val="18"/>
              </w:rPr>
              <w:t>%</w:t>
            </w:r>
          </w:p>
        </w:tc>
        <w:tc>
          <w:tcPr>
            <w:tcW w:w="741" w:type="dxa"/>
            <w:vAlign w:val="center"/>
          </w:tcPr>
          <w:p w14:paraId="5EA83BAB" w14:textId="78D5530C" w:rsidR="00A11196" w:rsidRPr="00C84F6D" w:rsidRDefault="00C632A8"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+1.3</w:t>
            </w:r>
            <w:r w:rsidR="0036550E">
              <w:rPr>
                <w:rFonts w:ascii="Arial" w:hAnsi="Arial" w:cs="Arial"/>
                <w:bCs/>
                <w:color w:val="215868" w:themeColor="accent5" w:themeShade="80"/>
                <w:sz w:val="18"/>
                <w:szCs w:val="18"/>
              </w:rPr>
              <w:t>%</w:t>
            </w:r>
          </w:p>
        </w:tc>
        <w:tc>
          <w:tcPr>
            <w:tcW w:w="816" w:type="dxa"/>
            <w:vAlign w:val="center"/>
          </w:tcPr>
          <w:p w14:paraId="19AF9C16" w14:textId="4AD926BB" w:rsidR="00A11196" w:rsidRPr="00C84F6D" w:rsidRDefault="00A11196"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sidRPr="00FE29F1">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168</w:t>
            </w:r>
            <w:r w:rsidRPr="00FE29F1">
              <w:rPr>
                <w:rFonts w:ascii="Arial" w:hAnsi="Arial" w:cs="Arial"/>
                <w:bCs/>
                <w:color w:val="215868" w:themeColor="accent5" w:themeShade="80"/>
                <w:sz w:val="18"/>
                <w:szCs w:val="18"/>
              </w:rPr>
              <w:t>M</w:t>
            </w:r>
          </w:p>
        </w:tc>
        <w:tc>
          <w:tcPr>
            <w:tcW w:w="854" w:type="dxa"/>
            <w:gridSpan w:val="2"/>
            <w:vAlign w:val="center"/>
          </w:tcPr>
          <w:p w14:paraId="56020386" w14:textId="5A342FFF" w:rsidR="00A11196" w:rsidRPr="00C84F6D" w:rsidRDefault="00A11196" w:rsidP="00A11196">
            <w:pPr>
              <w:jc w:val="right"/>
              <w:cnfStyle w:val="000000100000" w:firstRow="0" w:lastRow="0" w:firstColumn="0" w:lastColumn="0" w:oddVBand="0" w:evenVBand="0" w:oddHBand="1" w:evenHBand="0" w:firstRowFirstColumn="0" w:firstRowLastColumn="0" w:lastRowFirstColumn="0" w:lastRowLastColumn="0"/>
              <w:rPr>
                <w:bCs/>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10.0</w:t>
            </w:r>
            <w:r w:rsidRPr="00C84F6D">
              <w:rPr>
                <w:rFonts w:ascii="Arial" w:hAnsi="Arial" w:cs="Arial"/>
                <w:bCs/>
                <w:color w:val="215868" w:themeColor="accent5" w:themeShade="80"/>
                <w:sz w:val="18"/>
                <w:szCs w:val="18"/>
              </w:rPr>
              <w:t>%</w:t>
            </w:r>
          </w:p>
        </w:tc>
        <w:tc>
          <w:tcPr>
            <w:tcW w:w="726" w:type="dxa"/>
            <w:vAlign w:val="center"/>
          </w:tcPr>
          <w:p w14:paraId="264E0572" w14:textId="5A4F7376" w:rsidR="00A11196" w:rsidRPr="00C84F6D" w:rsidRDefault="00A11196" w:rsidP="00A11196">
            <w:pPr>
              <w:jc w:val="right"/>
              <w:cnfStyle w:val="000000100000" w:firstRow="0" w:lastRow="0" w:firstColumn="0" w:lastColumn="0" w:oddVBand="0" w:evenVBand="0" w:oddHBand="1" w:evenHBand="0" w:firstRowFirstColumn="0" w:firstRowLastColumn="0" w:lastRowFirstColumn="0" w:lastRowLastColumn="0"/>
              <w:rPr>
                <w:bCs/>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7.2</w:t>
            </w:r>
            <w:r w:rsidRPr="00C84F6D">
              <w:rPr>
                <w:rFonts w:ascii="Arial" w:hAnsi="Arial" w:cs="Arial"/>
                <w:bCs/>
                <w:color w:val="215868" w:themeColor="accent5" w:themeShade="80"/>
                <w:sz w:val="18"/>
                <w:szCs w:val="18"/>
              </w:rPr>
              <w:t>%</w:t>
            </w:r>
          </w:p>
        </w:tc>
      </w:tr>
      <w:tr w:rsidR="00A11196" w14:paraId="3093B5A9" w14:textId="77777777" w:rsidTr="00481A57">
        <w:trPr>
          <w:trHeight w:val="246"/>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4C1EA969" w14:textId="1EFCE130" w:rsidR="00A11196" w:rsidRPr="002D1A1A" w:rsidRDefault="00A11196" w:rsidP="00A11196">
            <w:pPr>
              <w:pStyle w:val="NoSpacing"/>
              <w:rPr>
                <w:rFonts w:ascii="Arial" w:hAnsi="Arial" w:cs="Arial"/>
                <w:b w:val="0"/>
                <w:color w:val="215868" w:themeColor="accent5" w:themeShade="80"/>
                <w:sz w:val="18"/>
                <w:szCs w:val="18"/>
              </w:rPr>
            </w:pPr>
            <w:r w:rsidRPr="002D1A1A">
              <w:rPr>
                <w:rFonts w:ascii="Arial" w:hAnsi="Arial" w:cs="Arial"/>
                <w:b w:val="0"/>
                <w:color w:val="215868" w:themeColor="accent5" w:themeShade="80"/>
                <w:sz w:val="18"/>
                <w:szCs w:val="18"/>
              </w:rPr>
              <w:t>Fresh lamb</w:t>
            </w:r>
          </w:p>
        </w:tc>
        <w:tc>
          <w:tcPr>
            <w:tcW w:w="740" w:type="dxa"/>
            <w:vAlign w:val="center"/>
          </w:tcPr>
          <w:p w14:paraId="4F55EEFF" w14:textId="716594C8" w:rsidR="00A11196" w:rsidRDefault="00A11196" w:rsidP="00A11196">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rPr>
              <w:t>+2</w:t>
            </w:r>
            <w:r w:rsidRPr="00FA4781">
              <w:rPr>
                <w:rFonts w:ascii="Arial" w:hAnsi="Arial" w:cs="Arial"/>
                <w:color w:val="215868" w:themeColor="accent5" w:themeShade="80"/>
                <w:sz w:val="18"/>
              </w:rPr>
              <w:t>%</w:t>
            </w:r>
          </w:p>
        </w:tc>
        <w:tc>
          <w:tcPr>
            <w:tcW w:w="784" w:type="dxa"/>
            <w:vAlign w:val="center"/>
          </w:tcPr>
          <w:p w14:paraId="2EBE7BEA" w14:textId="6430D877" w:rsidR="00A11196" w:rsidRDefault="00A11196" w:rsidP="00A11196">
            <w:pPr>
              <w:jc w:val="right"/>
              <w:cnfStyle w:val="000000000000" w:firstRow="0" w:lastRow="0" w:firstColumn="0" w:lastColumn="0" w:oddVBand="0" w:evenVBand="0" w:oddHBand="0" w:evenHBand="0" w:firstRowFirstColumn="0" w:firstRowLastColumn="0" w:lastRowFirstColumn="0" w:lastRowLastColumn="0"/>
            </w:pPr>
            <w:r w:rsidRPr="004258EB">
              <w:rPr>
                <w:rFonts w:ascii="Arial" w:hAnsi="Arial" w:cs="Arial"/>
                <w:color w:val="215868" w:themeColor="accent5" w:themeShade="80"/>
                <w:sz w:val="18"/>
              </w:rPr>
              <w:t>+</w:t>
            </w:r>
            <w:r>
              <w:rPr>
                <w:rFonts w:ascii="Arial" w:hAnsi="Arial" w:cs="Arial"/>
                <w:color w:val="215868" w:themeColor="accent5" w:themeShade="80"/>
                <w:sz w:val="18"/>
              </w:rPr>
              <w:t>25</w:t>
            </w:r>
            <w:r w:rsidRPr="004258EB">
              <w:rPr>
                <w:rFonts w:ascii="Arial" w:hAnsi="Arial" w:cs="Arial"/>
                <w:color w:val="215868" w:themeColor="accent5" w:themeShade="80"/>
                <w:sz w:val="18"/>
              </w:rPr>
              <w:t>%</w:t>
            </w:r>
          </w:p>
        </w:tc>
        <w:tc>
          <w:tcPr>
            <w:tcW w:w="709" w:type="dxa"/>
            <w:vAlign w:val="center"/>
          </w:tcPr>
          <w:p w14:paraId="5CA47A3A" w14:textId="64FDCF57" w:rsidR="00A11196" w:rsidRDefault="00A11196" w:rsidP="00A11196">
            <w:pPr>
              <w:jc w:val="right"/>
              <w:cnfStyle w:val="000000000000" w:firstRow="0" w:lastRow="0" w:firstColumn="0" w:lastColumn="0" w:oddVBand="0" w:evenVBand="0" w:oddHBand="0" w:evenHBand="0" w:firstRowFirstColumn="0" w:firstRowLastColumn="0" w:lastRowFirstColumn="0" w:lastRowLastColumn="0"/>
            </w:pPr>
            <w:r w:rsidRPr="009C56AC">
              <w:rPr>
                <w:rFonts w:ascii="Arial" w:hAnsi="Arial" w:cs="Arial"/>
                <w:color w:val="215868" w:themeColor="accent5" w:themeShade="80"/>
                <w:sz w:val="18"/>
              </w:rPr>
              <w:t>+</w:t>
            </w:r>
            <w:r>
              <w:rPr>
                <w:rFonts w:ascii="Arial" w:hAnsi="Arial" w:cs="Arial"/>
                <w:color w:val="215868" w:themeColor="accent5" w:themeShade="80"/>
                <w:sz w:val="18"/>
              </w:rPr>
              <w:t>23</w:t>
            </w:r>
            <w:r w:rsidRPr="009C56AC">
              <w:rPr>
                <w:rFonts w:ascii="Arial" w:hAnsi="Arial" w:cs="Arial"/>
                <w:color w:val="215868" w:themeColor="accent5" w:themeShade="80"/>
                <w:sz w:val="18"/>
              </w:rPr>
              <w:t>%</w:t>
            </w:r>
          </w:p>
        </w:tc>
        <w:tc>
          <w:tcPr>
            <w:tcW w:w="727" w:type="dxa"/>
            <w:vAlign w:val="center"/>
          </w:tcPr>
          <w:p w14:paraId="2CF1E215" w14:textId="7972F5A1" w:rsidR="00A11196" w:rsidRDefault="00A11196" w:rsidP="00A11196">
            <w:pPr>
              <w:jc w:val="right"/>
              <w:cnfStyle w:val="000000000000" w:firstRow="0" w:lastRow="0" w:firstColumn="0" w:lastColumn="0" w:oddVBand="0" w:evenVBand="0" w:oddHBand="0" w:evenHBand="0" w:firstRowFirstColumn="0" w:firstRowLastColumn="0" w:lastRowFirstColumn="0" w:lastRowLastColumn="0"/>
            </w:pPr>
            <w:r w:rsidRPr="00E55912">
              <w:rPr>
                <w:rFonts w:ascii="Arial" w:hAnsi="Arial" w:cs="Arial"/>
                <w:color w:val="215868" w:themeColor="accent5" w:themeShade="80"/>
                <w:sz w:val="18"/>
                <w:szCs w:val="18"/>
              </w:rPr>
              <w:t>+</w:t>
            </w:r>
            <w:r>
              <w:rPr>
                <w:rFonts w:ascii="Arial" w:hAnsi="Arial" w:cs="Arial"/>
                <w:color w:val="215868" w:themeColor="accent5" w:themeShade="80"/>
                <w:sz w:val="18"/>
                <w:szCs w:val="18"/>
              </w:rPr>
              <w:t>2</w:t>
            </w:r>
            <w:r w:rsidRPr="00E55912">
              <w:rPr>
                <w:rFonts w:ascii="Arial" w:hAnsi="Arial" w:cs="Arial"/>
                <w:color w:val="215868" w:themeColor="accent5" w:themeShade="80"/>
                <w:sz w:val="18"/>
                <w:szCs w:val="18"/>
              </w:rPr>
              <w:t>%</w:t>
            </w:r>
          </w:p>
        </w:tc>
        <w:tc>
          <w:tcPr>
            <w:tcW w:w="740" w:type="dxa"/>
            <w:vAlign w:val="center"/>
          </w:tcPr>
          <w:p w14:paraId="567AFF64" w14:textId="1DD741DF" w:rsidR="00A11196" w:rsidRPr="00430A9C" w:rsidRDefault="00A11196"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930B5D">
              <w:rPr>
                <w:rFonts w:ascii="Arial" w:hAnsi="Arial" w:cs="Arial"/>
                <w:color w:val="215868" w:themeColor="accent5" w:themeShade="80"/>
                <w:sz w:val="18"/>
                <w:szCs w:val="18"/>
              </w:rPr>
              <w:t>+</w:t>
            </w:r>
            <w:r w:rsidR="00274281">
              <w:rPr>
                <w:rFonts w:ascii="Arial" w:hAnsi="Arial" w:cs="Arial"/>
                <w:color w:val="215868" w:themeColor="accent5" w:themeShade="80"/>
                <w:sz w:val="18"/>
                <w:szCs w:val="18"/>
              </w:rPr>
              <w:t>6</w:t>
            </w:r>
            <w:r w:rsidRPr="00930B5D">
              <w:rPr>
                <w:rFonts w:ascii="Arial" w:hAnsi="Arial" w:cs="Arial"/>
                <w:color w:val="215868" w:themeColor="accent5" w:themeShade="80"/>
                <w:sz w:val="18"/>
                <w:szCs w:val="18"/>
              </w:rPr>
              <w:t>%</w:t>
            </w:r>
          </w:p>
        </w:tc>
        <w:tc>
          <w:tcPr>
            <w:tcW w:w="741" w:type="dxa"/>
            <w:vAlign w:val="center"/>
          </w:tcPr>
          <w:p w14:paraId="47A48F45" w14:textId="4133F8C9" w:rsidR="00A11196" w:rsidRDefault="00A11196"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+11%</w:t>
            </w:r>
          </w:p>
        </w:tc>
        <w:tc>
          <w:tcPr>
            <w:tcW w:w="740" w:type="dxa"/>
            <w:vAlign w:val="center"/>
          </w:tcPr>
          <w:p w14:paraId="0F193225" w14:textId="024FFDE8" w:rsidR="00A11196" w:rsidRPr="00186F1E" w:rsidRDefault="00274281"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bCs/>
                <w:color w:val="215868" w:themeColor="accent5" w:themeShade="80"/>
                <w:sz w:val="18"/>
                <w:szCs w:val="18"/>
              </w:rPr>
              <w:t>+3</w:t>
            </w:r>
            <w:r w:rsidR="00A11196" w:rsidRPr="00475723">
              <w:rPr>
                <w:rFonts w:ascii="Arial" w:hAnsi="Arial" w:cs="Arial"/>
                <w:bCs/>
                <w:color w:val="215868" w:themeColor="accent5" w:themeShade="80"/>
                <w:sz w:val="18"/>
                <w:szCs w:val="18"/>
              </w:rPr>
              <w:t>%</w:t>
            </w:r>
          </w:p>
        </w:tc>
        <w:tc>
          <w:tcPr>
            <w:tcW w:w="740" w:type="dxa"/>
            <w:vAlign w:val="center"/>
          </w:tcPr>
          <w:p w14:paraId="71D0C1C2" w14:textId="17386CF5" w:rsidR="00A11196" w:rsidRPr="00FA125A" w:rsidRDefault="00A11196"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695AE5">
              <w:rPr>
                <w:rFonts w:ascii="Arial" w:hAnsi="Arial" w:cs="Arial"/>
                <w:bCs/>
                <w:color w:val="215868" w:themeColor="accent5" w:themeShade="80"/>
                <w:sz w:val="18"/>
                <w:szCs w:val="18"/>
              </w:rPr>
              <w:t>+</w:t>
            </w:r>
            <w:r w:rsidR="00274281">
              <w:rPr>
                <w:rFonts w:ascii="Arial" w:hAnsi="Arial" w:cs="Arial"/>
                <w:bCs/>
                <w:color w:val="215868" w:themeColor="accent5" w:themeShade="80"/>
                <w:sz w:val="18"/>
                <w:szCs w:val="18"/>
              </w:rPr>
              <w:t>5</w:t>
            </w:r>
            <w:r w:rsidRPr="00695AE5">
              <w:rPr>
                <w:rFonts w:ascii="Arial" w:hAnsi="Arial" w:cs="Arial"/>
                <w:bCs/>
                <w:color w:val="215868" w:themeColor="accent5" w:themeShade="80"/>
                <w:sz w:val="18"/>
                <w:szCs w:val="18"/>
              </w:rPr>
              <w:t>%</w:t>
            </w:r>
          </w:p>
        </w:tc>
        <w:tc>
          <w:tcPr>
            <w:tcW w:w="741" w:type="dxa"/>
            <w:vAlign w:val="center"/>
          </w:tcPr>
          <w:p w14:paraId="3D5042CB" w14:textId="03963BED" w:rsidR="00A11196" w:rsidRPr="00C84F6D" w:rsidRDefault="00C632A8"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+5.9</w:t>
            </w:r>
            <w:r w:rsidR="0036550E">
              <w:rPr>
                <w:rFonts w:ascii="Arial" w:hAnsi="Arial" w:cs="Arial"/>
                <w:bCs/>
                <w:color w:val="215868" w:themeColor="accent5" w:themeShade="80"/>
                <w:sz w:val="18"/>
                <w:szCs w:val="18"/>
              </w:rPr>
              <w:t>%</w:t>
            </w:r>
          </w:p>
        </w:tc>
        <w:tc>
          <w:tcPr>
            <w:tcW w:w="816" w:type="dxa"/>
            <w:vAlign w:val="center"/>
          </w:tcPr>
          <w:p w14:paraId="063A5C3C" w14:textId="7890A346" w:rsidR="00A11196" w:rsidRDefault="00A11196"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FE29F1">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36</w:t>
            </w:r>
            <w:r w:rsidRPr="00FE29F1">
              <w:rPr>
                <w:rFonts w:ascii="Arial" w:hAnsi="Arial" w:cs="Arial"/>
                <w:bCs/>
                <w:color w:val="215868" w:themeColor="accent5" w:themeShade="80"/>
                <w:sz w:val="18"/>
                <w:szCs w:val="18"/>
              </w:rPr>
              <w:t>M</w:t>
            </w:r>
          </w:p>
        </w:tc>
        <w:tc>
          <w:tcPr>
            <w:tcW w:w="854" w:type="dxa"/>
            <w:gridSpan w:val="2"/>
            <w:vAlign w:val="center"/>
          </w:tcPr>
          <w:p w14:paraId="54A57461" w14:textId="7C6E59A5" w:rsidR="00A11196" w:rsidRPr="00C84F6D" w:rsidRDefault="00C632A8" w:rsidP="00A11196">
            <w:pPr>
              <w:jc w:val="right"/>
              <w:cnfStyle w:val="000000000000" w:firstRow="0" w:lastRow="0" w:firstColumn="0" w:lastColumn="0" w:oddVBand="0" w:evenVBand="0" w:oddHBand="0" w:evenHBand="0" w:firstRowFirstColumn="0" w:firstRowLastColumn="0" w:lastRowFirstColumn="0" w:lastRowLastColumn="0"/>
              <w:rPr>
                <w:bCs/>
              </w:rPr>
            </w:pPr>
            <w:r>
              <w:rPr>
                <w:rFonts w:ascii="Arial" w:hAnsi="Arial" w:cs="Arial"/>
                <w:bCs/>
                <w:color w:val="215868" w:themeColor="accent5" w:themeShade="80"/>
                <w:sz w:val="18"/>
                <w:szCs w:val="18"/>
              </w:rPr>
              <w:t>-1.8</w:t>
            </w:r>
            <w:r w:rsidR="00A11196" w:rsidRPr="00C84F6D">
              <w:rPr>
                <w:rFonts w:ascii="Arial" w:hAnsi="Arial" w:cs="Arial"/>
                <w:bCs/>
                <w:color w:val="215868" w:themeColor="accent5" w:themeShade="80"/>
                <w:sz w:val="18"/>
                <w:szCs w:val="18"/>
              </w:rPr>
              <w:t>%</w:t>
            </w:r>
          </w:p>
        </w:tc>
        <w:tc>
          <w:tcPr>
            <w:tcW w:w="726" w:type="dxa"/>
            <w:vAlign w:val="center"/>
          </w:tcPr>
          <w:p w14:paraId="6A6E9D41" w14:textId="7398EE08" w:rsidR="00A11196" w:rsidRPr="00C84F6D" w:rsidRDefault="00A11196" w:rsidP="00A11196">
            <w:pPr>
              <w:jc w:val="right"/>
              <w:cnfStyle w:val="000000000000" w:firstRow="0" w:lastRow="0" w:firstColumn="0" w:lastColumn="0" w:oddVBand="0" w:evenVBand="0" w:oddHBand="0" w:evenHBand="0" w:firstRowFirstColumn="0" w:firstRowLastColumn="0" w:lastRowFirstColumn="0" w:lastRowLastColumn="0"/>
              <w:rPr>
                <w:bCs/>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4.3</w:t>
            </w:r>
            <w:r w:rsidRPr="00C84F6D">
              <w:rPr>
                <w:rFonts w:ascii="Arial" w:hAnsi="Arial" w:cs="Arial"/>
                <w:bCs/>
                <w:color w:val="215868" w:themeColor="accent5" w:themeShade="80"/>
                <w:sz w:val="18"/>
                <w:szCs w:val="18"/>
              </w:rPr>
              <w:t>%</w:t>
            </w:r>
          </w:p>
        </w:tc>
      </w:tr>
      <w:tr w:rsidR="00A11196" w:rsidRPr="00F15F7E" w14:paraId="27738537" w14:textId="77777777" w:rsidTr="00481A5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2DACCF37" w14:textId="77777777" w:rsidR="00A11196" w:rsidRPr="00F15F7E" w:rsidRDefault="00A11196" w:rsidP="00A11196">
            <w:pPr>
              <w:pStyle w:val="NoSpacing"/>
              <w:rPr>
                <w:rFonts w:ascii="Arial" w:hAnsi="Arial" w:cs="Arial"/>
                <w:b w:val="0"/>
                <w:bCs w:val="0"/>
                <w:color w:val="215868" w:themeColor="accent5" w:themeShade="80"/>
                <w:sz w:val="18"/>
                <w:szCs w:val="18"/>
              </w:rPr>
            </w:pPr>
            <w:r w:rsidRPr="00F15F7E">
              <w:rPr>
                <w:rFonts w:ascii="Arial" w:hAnsi="Arial" w:cs="Arial"/>
                <w:b w:val="0"/>
                <w:bCs w:val="0"/>
                <w:color w:val="215868" w:themeColor="accent5" w:themeShade="80"/>
                <w:sz w:val="18"/>
                <w:szCs w:val="18"/>
              </w:rPr>
              <w:t>Fresh exotic</w:t>
            </w:r>
          </w:p>
        </w:tc>
        <w:tc>
          <w:tcPr>
            <w:tcW w:w="740" w:type="dxa"/>
            <w:vAlign w:val="center"/>
          </w:tcPr>
          <w:p w14:paraId="59963B02" w14:textId="30B3F7CA" w:rsidR="00A11196" w:rsidRDefault="00A11196" w:rsidP="00A11196">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rPr>
              <w:t>+3</w:t>
            </w:r>
            <w:r w:rsidRPr="00FA4781">
              <w:rPr>
                <w:rFonts w:ascii="Arial" w:hAnsi="Arial" w:cs="Arial"/>
                <w:color w:val="215868" w:themeColor="accent5" w:themeShade="80"/>
                <w:sz w:val="18"/>
              </w:rPr>
              <w:t>%</w:t>
            </w:r>
          </w:p>
        </w:tc>
        <w:tc>
          <w:tcPr>
            <w:tcW w:w="784" w:type="dxa"/>
            <w:vAlign w:val="center"/>
          </w:tcPr>
          <w:p w14:paraId="7362A73F" w14:textId="17B60ED5" w:rsidR="00A11196" w:rsidRDefault="00A11196" w:rsidP="00A11196">
            <w:pPr>
              <w:jc w:val="right"/>
              <w:cnfStyle w:val="000000100000" w:firstRow="0" w:lastRow="0" w:firstColumn="0" w:lastColumn="0" w:oddVBand="0" w:evenVBand="0" w:oddHBand="1" w:evenHBand="0" w:firstRowFirstColumn="0" w:firstRowLastColumn="0" w:lastRowFirstColumn="0" w:lastRowLastColumn="0"/>
            </w:pPr>
            <w:r w:rsidRPr="004258EB">
              <w:rPr>
                <w:rFonts w:ascii="Arial" w:hAnsi="Arial" w:cs="Arial"/>
                <w:color w:val="215868" w:themeColor="accent5" w:themeShade="80"/>
                <w:sz w:val="18"/>
              </w:rPr>
              <w:t>+</w:t>
            </w:r>
            <w:r>
              <w:rPr>
                <w:rFonts w:ascii="Arial" w:hAnsi="Arial" w:cs="Arial"/>
                <w:color w:val="215868" w:themeColor="accent5" w:themeShade="80"/>
                <w:sz w:val="18"/>
              </w:rPr>
              <w:t>28</w:t>
            </w:r>
            <w:r w:rsidRPr="004258EB">
              <w:rPr>
                <w:rFonts w:ascii="Arial" w:hAnsi="Arial" w:cs="Arial"/>
                <w:color w:val="215868" w:themeColor="accent5" w:themeShade="80"/>
                <w:sz w:val="18"/>
              </w:rPr>
              <w:t>%</w:t>
            </w:r>
          </w:p>
        </w:tc>
        <w:tc>
          <w:tcPr>
            <w:tcW w:w="709" w:type="dxa"/>
            <w:vAlign w:val="center"/>
          </w:tcPr>
          <w:p w14:paraId="2AB70ED4" w14:textId="3423C00B" w:rsidR="00A11196" w:rsidRPr="00F15F7E" w:rsidRDefault="00274281"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rPr>
            </w:pPr>
            <w:r>
              <w:rPr>
                <w:rFonts w:ascii="Arial" w:hAnsi="Arial" w:cs="Arial"/>
                <w:color w:val="215868" w:themeColor="accent5" w:themeShade="80"/>
                <w:sz w:val="18"/>
              </w:rPr>
              <w:t>+4</w:t>
            </w:r>
            <w:r w:rsidR="00A11196">
              <w:rPr>
                <w:rFonts w:ascii="Arial" w:hAnsi="Arial" w:cs="Arial"/>
                <w:color w:val="215868" w:themeColor="accent5" w:themeShade="80"/>
                <w:sz w:val="18"/>
              </w:rPr>
              <w:t>%</w:t>
            </w:r>
          </w:p>
        </w:tc>
        <w:tc>
          <w:tcPr>
            <w:tcW w:w="727" w:type="dxa"/>
            <w:vAlign w:val="center"/>
          </w:tcPr>
          <w:p w14:paraId="4BC0A711" w14:textId="4FEC3B19" w:rsidR="00A11196" w:rsidRPr="00F15F7E" w:rsidRDefault="00274281"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-13</w:t>
            </w:r>
            <w:r w:rsidR="00A11196">
              <w:rPr>
                <w:rFonts w:ascii="Arial" w:hAnsi="Arial" w:cs="Arial"/>
                <w:color w:val="215868" w:themeColor="accent5" w:themeShade="80"/>
                <w:sz w:val="18"/>
                <w:szCs w:val="18"/>
              </w:rPr>
              <w:t>%</w:t>
            </w:r>
          </w:p>
        </w:tc>
        <w:tc>
          <w:tcPr>
            <w:tcW w:w="740" w:type="dxa"/>
            <w:vAlign w:val="center"/>
          </w:tcPr>
          <w:p w14:paraId="38D61F07" w14:textId="71BA9321" w:rsidR="00A11196" w:rsidRPr="00186F1E" w:rsidRDefault="00A11196"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930B5D">
              <w:rPr>
                <w:rFonts w:ascii="Arial" w:hAnsi="Arial" w:cs="Arial"/>
                <w:color w:val="215868" w:themeColor="accent5" w:themeShade="80"/>
                <w:sz w:val="18"/>
                <w:szCs w:val="18"/>
              </w:rPr>
              <w:t>+</w:t>
            </w:r>
            <w:r w:rsidR="00274281">
              <w:rPr>
                <w:rFonts w:ascii="Arial" w:hAnsi="Arial" w:cs="Arial"/>
                <w:color w:val="215868" w:themeColor="accent5" w:themeShade="80"/>
                <w:sz w:val="18"/>
                <w:szCs w:val="18"/>
              </w:rPr>
              <w:t>4</w:t>
            </w:r>
            <w:r w:rsidRPr="00930B5D">
              <w:rPr>
                <w:rFonts w:ascii="Arial" w:hAnsi="Arial" w:cs="Arial"/>
                <w:color w:val="215868" w:themeColor="accent5" w:themeShade="80"/>
                <w:sz w:val="18"/>
                <w:szCs w:val="18"/>
              </w:rPr>
              <w:t>%</w:t>
            </w:r>
          </w:p>
        </w:tc>
        <w:tc>
          <w:tcPr>
            <w:tcW w:w="741" w:type="dxa"/>
            <w:vAlign w:val="center"/>
          </w:tcPr>
          <w:p w14:paraId="09711FF2" w14:textId="671D0F36" w:rsidR="00A11196" w:rsidRPr="00186F1E" w:rsidRDefault="00274281"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+1</w:t>
            </w:r>
            <w:r w:rsidR="00A11196">
              <w:rPr>
                <w:rFonts w:ascii="Arial" w:hAnsi="Arial" w:cs="Arial"/>
                <w:color w:val="215868" w:themeColor="accent5" w:themeShade="80"/>
                <w:sz w:val="18"/>
                <w:szCs w:val="18"/>
              </w:rPr>
              <w:t>%</w:t>
            </w:r>
          </w:p>
        </w:tc>
        <w:tc>
          <w:tcPr>
            <w:tcW w:w="740" w:type="dxa"/>
            <w:vAlign w:val="center"/>
          </w:tcPr>
          <w:p w14:paraId="53E33691" w14:textId="5394CB57" w:rsidR="00A11196" w:rsidRPr="00F15F7E" w:rsidRDefault="00274281"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bCs/>
                <w:color w:val="215868" w:themeColor="accent5" w:themeShade="80"/>
                <w:sz w:val="18"/>
                <w:szCs w:val="18"/>
              </w:rPr>
              <w:t>+4</w:t>
            </w:r>
            <w:r w:rsidR="00A11196" w:rsidRPr="00475723">
              <w:rPr>
                <w:rFonts w:ascii="Arial" w:hAnsi="Arial" w:cs="Arial"/>
                <w:bCs/>
                <w:color w:val="215868" w:themeColor="accent5" w:themeShade="80"/>
                <w:sz w:val="18"/>
                <w:szCs w:val="18"/>
              </w:rPr>
              <w:t>%</w:t>
            </w:r>
          </w:p>
        </w:tc>
        <w:tc>
          <w:tcPr>
            <w:tcW w:w="740" w:type="dxa"/>
            <w:vAlign w:val="center"/>
          </w:tcPr>
          <w:p w14:paraId="2F583C60" w14:textId="721722EA" w:rsidR="00A11196" w:rsidRDefault="00274281"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-5</w:t>
            </w:r>
            <w:r w:rsidR="00A11196" w:rsidRPr="00695AE5">
              <w:rPr>
                <w:rFonts w:ascii="Arial" w:hAnsi="Arial" w:cs="Arial"/>
                <w:bCs/>
                <w:color w:val="215868" w:themeColor="accent5" w:themeShade="80"/>
                <w:sz w:val="18"/>
                <w:szCs w:val="18"/>
              </w:rPr>
              <w:t>%</w:t>
            </w:r>
          </w:p>
        </w:tc>
        <w:tc>
          <w:tcPr>
            <w:tcW w:w="741" w:type="dxa"/>
            <w:vAlign w:val="center"/>
          </w:tcPr>
          <w:p w14:paraId="06814A11" w14:textId="5D6682A5" w:rsidR="00A11196" w:rsidRPr="00C84F6D" w:rsidRDefault="00C632A8"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+4.1</w:t>
            </w:r>
            <w:r w:rsidR="0036550E">
              <w:rPr>
                <w:rFonts w:ascii="Arial" w:hAnsi="Arial" w:cs="Arial"/>
                <w:bCs/>
                <w:color w:val="215868" w:themeColor="accent5" w:themeShade="80"/>
                <w:sz w:val="18"/>
                <w:szCs w:val="18"/>
              </w:rPr>
              <w:t>%</w:t>
            </w:r>
          </w:p>
        </w:tc>
        <w:tc>
          <w:tcPr>
            <w:tcW w:w="816" w:type="dxa"/>
            <w:vAlign w:val="center"/>
          </w:tcPr>
          <w:p w14:paraId="46143995" w14:textId="5FD4A20C" w:rsidR="00A11196" w:rsidRDefault="00A11196"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8</w:t>
            </w:r>
            <w:r>
              <w:rPr>
                <w:rFonts w:ascii="Arial" w:hAnsi="Arial" w:cs="Arial"/>
                <w:bCs/>
                <w:color w:val="215868" w:themeColor="accent5" w:themeShade="80"/>
                <w:sz w:val="18"/>
                <w:szCs w:val="18"/>
              </w:rPr>
              <w:t>M</w:t>
            </w:r>
          </w:p>
        </w:tc>
        <w:tc>
          <w:tcPr>
            <w:tcW w:w="854" w:type="dxa"/>
            <w:gridSpan w:val="2"/>
            <w:vAlign w:val="center"/>
          </w:tcPr>
          <w:p w14:paraId="4EB14698" w14:textId="37262B9D" w:rsidR="00A11196" w:rsidRPr="00C84F6D" w:rsidRDefault="00A11196"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6.3</w:t>
            </w:r>
            <w:r w:rsidRPr="00C84F6D">
              <w:rPr>
                <w:rFonts w:ascii="Arial" w:hAnsi="Arial" w:cs="Arial"/>
                <w:bCs/>
                <w:color w:val="215868" w:themeColor="accent5" w:themeShade="80"/>
                <w:sz w:val="18"/>
                <w:szCs w:val="18"/>
              </w:rPr>
              <w:t>%</w:t>
            </w:r>
          </w:p>
        </w:tc>
        <w:tc>
          <w:tcPr>
            <w:tcW w:w="726" w:type="dxa"/>
            <w:vAlign w:val="center"/>
          </w:tcPr>
          <w:p w14:paraId="01EE20F8" w14:textId="060999EB" w:rsidR="00A11196" w:rsidRPr="00C84F6D" w:rsidRDefault="00A11196" w:rsidP="00A1119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8.0</w:t>
            </w:r>
            <w:r w:rsidRPr="00C84F6D">
              <w:rPr>
                <w:rFonts w:ascii="Arial" w:hAnsi="Arial" w:cs="Arial"/>
                <w:bCs/>
                <w:color w:val="215868" w:themeColor="accent5" w:themeShade="80"/>
                <w:sz w:val="18"/>
                <w:szCs w:val="18"/>
              </w:rPr>
              <w:t>%</w:t>
            </w:r>
          </w:p>
        </w:tc>
      </w:tr>
      <w:tr w:rsidR="00A11196" w:rsidRPr="00F15F7E" w14:paraId="5911F005" w14:textId="77777777" w:rsidTr="00481A57">
        <w:trPr>
          <w:trHeight w:val="246"/>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15CA4E86" w14:textId="77777777" w:rsidR="00A11196" w:rsidRPr="00F15F7E" w:rsidRDefault="00A11196" w:rsidP="00A11196">
            <w:pPr>
              <w:pStyle w:val="NoSpacing"/>
              <w:rPr>
                <w:rFonts w:ascii="Arial" w:hAnsi="Arial" w:cs="Arial"/>
                <w:b w:val="0"/>
                <w:bCs w:val="0"/>
                <w:color w:val="215868" w:themeColor="accent5" w:themeShade="80"/>
                <w:sz w:val="18"/>
                <w:szCs w:val="18"/>
              </w:rPr>
            </w:pPr>
            <w:r w:rsidRPr="00F15F7E">
              <w:rPr>
                <w:rFonts w:ascii="Arial" w:hAnsi="Arial" w:cs="Arial"/>
                <w:b w:val="0"/>
                <w:bCs w:val="0"/>
                <w:color w:val="215868" w:themeColor="accent5" w:themeShade="80"/>
                <w:sz w:val="18"/>
                <w:szCs w:val="18"/>
              </w:rPr>
              <w:t>Veal</w:t>
            </w:r>
          </w:p>
        </w:tc>
        <w:tc>
          <w:tcPr>
            <w:tcW w:w="740" w:type="dxa"/>
            <w:vAlign w:val="center"/>
          </w:tcPr>
          <w:p w14:paraId="0D33365C" w14:textId="5B66FF99" w:rsidR="00A11196" w:rsidRDefault="00A11196" w:rsidP="00A11196">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rPr>
              <w:t>-8</w:t>
            </w:r>
            <w:r w:rsidRPr="00FA4781">
              <w:rPr>
                <w:rFonts w:ascii="Arial" w:hAnsi="Arial" w:cs="Arial"/>
                <w:color w:val="215868" w:themeColor="accent5" w:themeShade="80"/>
                <w:sz w:val="18"/>
              </w:rPr>
              <w:t>%</w:t>
            </w:r>
          </w:p>
        </w:tc>
        <w:tc>
          <w:tcPr>
            <w:tcW w:w="784" w:type="dxa"/>
            <w:vAlign w:val="center"/>
          </w:tcPr>
          <w:p w14:paraId="00B92C6F" w14:textId="68E603F9" w:rsidR="00A11196" w:rsidRDefault="00A11196" w:rsidP="00A11196">
            <w:pPr>
              <w:jc w:val="right"/>
              <w:cnfStyle w:val="000000000000" w:firstRow="0" w:lastRow="0" w:firstColumn="0" w:lastColumn="0" w:oddVBand="0" w:evenVBand="0" w:oddHBand="0" w:evenHBand="0" w:firstRowFirstColumn="0" w:firstRowLastColumn="0" w:lastRowFirstColumn="0" w:lastRowLastColumn="0"/>
            </w:pPr>
            <w:r w:rsidRPr="004258EB">
              <w:rPr>
                <w:rFonts w:ascii="Arial" w:hAnsi="Arial" w:cs="Arial"/>
                <w:color w:val="215868" w:themeColor="accent5" w:themeShade="80"/>
                <w:sz w:val="18"/>
              </w:rPr>
              <w:t>+</w:t>
            </w:r>
            <w:r>
              <w:rPr>
                <w:rFonts w:ascii="Arial" w:hAnsi="Arial" w:cs="Arial"/>
                <w:color w:val="215868" w:themeColor="accent5" w:themeShade="80"/>
                <w:sz w:val="18"/>
              </w:rPr>
              <w:t>11</w:t>
            </w:r>
            <w:r w:rsidRPr="004258EB">
              <w:rPr>
                <w:rFonts w:ascii="Arial" w:hAnsi="Arial" w:cs="Arial"/>
                <w:color w:val="215868" w:themeColor="accent5" w:themeShade="80"/>
                <w:sz w:val="18"/>
              </w:rPr>
              <w:t>%</w:t>
            </w:r>
          </w:p>
        </w:tc>
        <w:tc>
          <w:tcPr>
            <w:tcW w:w="709" w:type="dxa"/>
            <w:vAlign w:val="center"/>
          </w:tcPr>
          <w:p w14:paraId="5AEA5CF7" w14:textId="3C4845CC" w:rsidR="00A11196" w:rsidRPr="00F15F7E" w:rsidRDefault="00A11196" w:rsidP="0027428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rPr>
            </w:pPr>
            <w:r>
              <w:rPr>
                <w:rFonts w:ascii="Arial" w:hAnsi="Arial" w:cs="Arial"/>
                <w:color w:val="215868" w:themeColor="accent5" w:themeShade="80"/>
                <w:sz w:val="18"/>
              </w:rPr>
              <w:t>+5%</w:t>
            </w:r>
          </w:p>
        </w:tc>
        <w:tc>
          <w:tcPr>
            <w:tcW w:w="727" w:type="dxa"/>
            <w:vAlign w:val="center"/>
          </w:tcPr>
          <w:p w14:paraId="6BFD43E0" w14:textId="1454E5F9" w:rsidR="00A11196" w:rsidRPr="00F15F7E" w:rsidRDefault="00A11196"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274281">
              <w:rPr>
                <w:rFonts w:ascii="Arial" w:hAnsi="Arial" w:cs="Arial"/>
                <w:color w:val="215868" w:themeColor="accent5" w:themeShade="80"/>
                <w:sz w:val="18"/>
                <w:szCs w:val="18"/>
              </w:rPr>
              <w:t>3</w:t>
            </w:r>
            <w:r>
              <w:rPr>
                <w:rFonts w:ascii="Arial" w:hAnsi="Arial" w:cs="Arial"/>
                <w:color w:val="215868" w:themeColor="accent5" w:themeShade="80"/>
                <w:sz w:val="18"/>
                <w:szCs w:val="18"/>
              </w:rPr>
              <w:t>%</w:t>
            </w:r>
          </w:p>
        </w:tc>
        <w:tc>
          <w:tcPr>
            <w:tcW w:w="740" w:type="dxa"/>
            <w:vAlign w:val="center"/>
          </w:tcPr>
          <w:p w14:paraId="6E21CD00" w14:textId="56E969C5" w:rsidR="00A11196" w:rsidRPr="00430A9C" w:rsidRDefault="00274281"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-2</w:t>
            </w:r>
            <w:r w:rsidR="00A11196" w:rsidRPr="00930B5D">
              <w:rPr>
                <w:rFonts w:ascii="Arial" w:hAnsi="Arial" w:cs="Arial"/>
                <w:color w:val="215868" w:themeColor="accent5" w:themeShade="80"/>
                <w:sz w:val="18"/>
                <w:szCs w:val="18"/>
              </w:rPr>
              <w:t>%</w:t>
            </w:r>
          </w:p>
        </w:tc>
        <w:tc>
          <w:tcPr>
            <w:tcW w:w="741" w:type="dxa"/>
            <w:vAlign w:val="center"/>
          </w:tcPr>
          <w:p w14:paraId="21C2771B" w14:textId="22DAAD66" w:rsidR="00A11196" w:rsidRPr="00430A9C" w:rsidRDefault="00274281"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-6</w:t>
            </w:r>
            <w:r w:rsidR="00A11196">
              <w:rPr>
                <w:rFonts w:ascii="Arial" w:hAnsi="Arial" w:cs="Arial"/>
                <w:color w:val="215868" w:themeColor="accent5" w:themeShade="80"/>
                <w:sz w:val="18"/>
                <w:szCs w:val="18"/>
              </w:rPr>
              <w:t>%</w:t>
            </w:r>
          </w:p>
        </w:tc>
        <w:tc>
          <w:tcPr>
            <w:tcW w:w="740" w:type="dxa"/>
            <w:vAlign w:val="center"/>
          </w:tcPr>
          <w:p w14:paraId="3C601542" w14:textId="009EC435" w:rsidR="00A11196" w:rsidRPr="00F15F7E" w:rsidRDefault="00274281"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bCs/>
                <w:color w:val="215868" w:themeColor="accent5" w:themeShade="80"/>
                <w:sz w:val="18"/>
                <w:szCs w:val="18"/>
              </w:rPr>
              <w:t>-5</w:t>
            </w:r>
            <w:r w:rsidR="00A11196" w:rsidRPr="00475723">
              <w:rPr>
                <w:rFonts w:ascii="Arial" w:hAnsi="Arial" w:cs="Arial"/>
                <w:bCs/>
                <w:color w:val="215868" w:themeColor="accent5" w:themeShade="80"/>
                <w:sz w:val="18"/>
                <w:szCs w:val="18"/>
              </w:rPr>
              <w:t>%</w:t>
            </w:r>
          </w:p>
        </w:tc>
        <w:tc>
          <w:tcPr>
            <w:tcW w:w="740" w:type="dxa"/>
            <w:vAlign w:val="center"/>
          </w:tcPr>
          <w:p w14:paraId="10E1C4AD" w14:textId="680E1930" w:rsidR="00A11196" w:rsidRPr="00FA125A" w:rsidRDefault="00A11196"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-14</w:t>
            </w:r>
            <w:r w:rsidRPr="00695AE5">
              <w:rPr>
                <w:rFonts w:ascii="Arial" w:hAnsi="Arial" w:cs="Arial"/>
                <w:bCs/>
                <w:color w:val="215868" w:themeColor="accent5" w:themeShade="80"/>
                <w:sz w:val="18"/>
                <w:szCs w:val="18"/>
              </w:rPr>
              <w:t>%</w:t>
            </w:r>
          </w:p>
        </w:tc>
        <w:tc>
          <w:tcPr>
            <w:tcW w:w="741" w:type="dxa"/>
            <w:vAlign w:val="center"/>
          </w:tcPr>
          <w:p w14:paraId="7A177F5A" w14:textId="2D412028" w:rsidR="00A11196" w:rsidRPr="00C84F6D" w:rsidRDefault="00C632A8"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-1.9</w:t>
            </w:r>
            <w:r w:rsidR="0036550E">
              <w:rPr>
                <w:rFonts w:ascii="Arial" w:hAnsi="Arial" w:cs="Arial"/>
                <w:bCs/>
                <w:color w:val="215868" w:themeColor="accent5" w:themeShade="80"/>
                <w:sz w:val="18"/>
                <w:szCs w:val="18"/>
              </w:rPr>
              <w:t>%</w:t>
            </w:r>
          </w:p>
        </w:tc>
        <w:tc>
          <w:tcPr>
            <w:tcW w:w="816" w:type="dxa"/>
            <w:vAlign w:val="center"/>
          </w:tcPr>
          <w:p w14:paraId="2D1A811C" w14:textId="7B599CAB" w:rsidR="00A11196" w:rsidRDefault="00A11196"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4</w:t>
            </w:r>
            <w:r>
              <w:rPr>
                <w:rFonts w:ascii="Arial" w:hAnsi="Arial" w:cs="Arial"/>
                <w:bCs/>
                <w:color w:val="215868" w:themeColor="accent5" w:themeShade="80"/>
                <w:sz w:val="18"/>
                <w:szCs w:val="18"/>
              </w:rPr>
              <w:t>M</w:t>
            </w:r>
          </w:p>
        </w:tc>
        <w:tc>
          <w:tcPr>
            <w:tcW w:w="854" w:type="dxa"/>
            <w:gridSpan w:val="2"/>
            <w:vAlign w:val="center"/>
          </w:tcPr>
          <w:p w14:paraId="4D1C65A2" w14:textId="400100BA" w:rsidR="00A11196" w:rsidRPr="00C84F6D" w:rsidRDefault="00A11196"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13.7</w:t>
            </w:r>
            <w:r w:rsidRPr="00C84F6D">
              <w:rPr>
                <w:rFonts w:ascii="Arial" w:hAnsi="Arial" w:cs="Arial"/>
                <w:bCs/>
                <w:color w:val="215868" w:themeColor="accent5" w:themeShade="80"/>
                <w:sz w:val="18"/>
                <w:szCs w:val="18"/>
              </w:rPr>
              <w:t>%</w:t>
            </w:r>
          </w:p>
        </w:tc>
        <w:tc>
          <w:tcPr>
            <w:tcW w:w="726" w:type="dxa"/>
            <w:vAlign w:val="center"/>
          </w:tcPr>
          <w:p w14:paraId="5573DDD4" w14:textId="729E77FF" w:rsidR="00A11196" w:rsidRPr="00C84F6D" w:rsidRDefault="00A11196" w:rsidP="00A1119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12</w:t>
            </w:r>
            <w:r w:rsidRPr="00C84F6D">
              <w:rPr>
                <w:rFonts w:ascii="Arial" w:hAnsi="Arial" w:cs="Arial"/>
                <w:bCs/>
                <w:color w:val="215868" w:themeColor="accent5" w:themeShade="80"/>
                <w:sz w:val="18"/>
                <w:szCs w:val="18"/>
              </w:rPr>
              <w:t>%</w:t>
            </w:r>
          </w:p>
        </w:tc>
      </w:tr>
    </w:tbl>
    <w:p w14:paraId="2031E023" w14:textId="77777777" w:rsidR="005E4F84" w:rsidRPr="00DB69E8" w:rsidRDefault="005E4F84" w:rsidP="005E4F84">
      <w:pPr>
        <w:pStyle w:val="NoSpacing"/>
        <w:rPr>
          <w:rFonts w:ascii="Arial" w:hAnsi="Arial" w:cs="Arial"/>
          <w:sz w:val="10"/>
          <w:szCs w:val="10"/>
        </w:rPr>
      </w:pPr>
    </w:p>
    <w:p w14:paraId="34705CE8" w14:textId="77777777" w:rsidR="005E4F84" w:rsidRPr="00E23819" w:rsidRDefault="005E4F84" w:rsidP="005E4F84">
      <w:pPr>
        <w:pStyle w:val="NoSpacing"/>
        <w:rPr>
          <w:rFonts w:ascii="Arial" w:hAnsi="Arial" w:cs="Arial"/>
          <w:sz w:val="16"/>
          <w:szCs w:val="16"/>
        </w:rPr>
      </w:pPr>
      <w:r w:rsidRPr="00E23819">
        <w:rPr>
          <w:rFonts w:ascii="Arial" w:hAnsi="Arial" w:cs="Arial"/>
          <w:sz w:val="16"/>
          <w:szCs w:val="16"/>
        </w:rPr>
        <w:t xml:space="preserve">Source: IRI, </w:t>
      </w:r>
      <w:r>
        <w:rPr>
          <w:rFonts w:ascii="Arial" w:hAnsi="Arial" w:cs="Arial"/>
          <w:sz w:val="16"/>
          <w:szCs w:val="16"/>
        </w:rPr>
        <w:t xml:space="preserve">Integrated Fresh, </w:t>
      </w:r>
      <w:r w:rsidRPr="00E23819">
        <w:rPr>
          <w:rFonts w:ascii="Arial" w:hAnsi="Arial" w:cs="Arial"/>
          <w:sz w:val="16"/>
          <w:szCs w:val="16"/>
        </w:rPr>
        <w:t>MULO</w:t>
      </w:r>
    </w:p>
    <w:bookmarkEnd w:id="3"/>
    <w:p w14:paraId="55A900FA" w14:textId="77777777" w:rsidR="00985C69" w:rsidRDefault="00985C69" w:rsidP="00E57D76">
      <w:pPr>
        <w:pStyle w:val="NoSpacing"/>
        <w:rPr>
          <w:rFonts w:ascii="Arial" w:hAnsi="Arial" w:cs="Arial"/>
          <w:b/>
          <w:color w:val="595959" w:themeColor="text1" w:themeTint="A6"/>
          <w:sz w:val="24"/>
          <w:szCs w:val="24"/>
        </w:rPr>
      </w:pPr>
    </w:p>
    <w:p w14:paraId="5C5713BF" w14:textId="77777777" w:rsidR="00C632A8" w:rsidRDefault="00C632A8" w:rsidP="00E57D76">
      <w:pPr>
        <w:pStyle w:val="NoSpacing"/>
        <w:rPr>
          <w:rFonts w:ascii="Arial" w:hAnsi="Arial" w:cs="Arial"/>
          <w:b/>
          <w:color w:val="595959" w:themeColor="text1" w:themeTint="A6"/>
          <w:sz w:val="24"/>
          <w:szCs w:val="24"/>
        </w:rPr>
      </w:pPr>
    </w:p>
    <w:p w14:paraId="4F9768B6" w14:textId="446E73A3" w:rsidR="00E57D76" w:rsidRPr="006879B2" w:rsidRDefault="00E57D76" w:rsidP="00E57D76">
      <w:pPr>
        <w:pStyle w:val="NoSpacing"/>
        <w:rPr>
          <w:rFonts w:ascii="Arial" w:hAnsi="Arial" w:cs="Arial"/>
          <w:b/>
          <w:color w:val="595959" w:themeColor="text1" w:themeTint="A6"/>
          <w:sz w:val="24"/>
          <w:szCs w:val="24"/>
        </w:rPr>
      </w:pPr>
      <w:r>
        <w:rPr>
          <w:rFonts w:ascii="Arial" w:hAnsi="Arial" w:cs="Arial"/>
          <w:b/>
          <w:color w:val="595959" w:themeColor="text1" w:themeTint="A6"/>
          <w:sz w:val="24"/>
          <w:szCs w:val="24"/>
        </w:rPr>
        <w:lastRenderedPageBreak/>
        <w:t xml:space="preserve">Processed </w:t>
      </w:r>
      <w:r w:rsidRPr="006879B2">
        <w:rPr>
          <w:rFonts w:ascii="Arial" w:hAnsi="Arial" w:cs="Arial"/>
          <w:b/>
          <w:color w:val="595959" w:themeColor="text1" w:themeTint="A6"/>
          <w:sz w:val="24"/>
          <w:szCs w:val="24"/>
        </w:rPr>
        <w:t xml:space="preserve">Meat </w:t>
      </w:r>
    </w:p>
    <w:p w14:paraId="7E98EB8D" w14:textId="5CC26311" w:rsidR="003E01D8" w:rsidRDefault="003A7881" w:rsidP="00FF790A">
      <w:pPr>
        <w:pStyle w:val="NoSpacing"/>
        <w:rPr>
          <w:rFonts w:ascii="Arial" w:hAnsi="Arial" w:cs="Arial"/>
          <w:sz w:val="20"/>
          <w:szCs w:val="20"/>
        </w:rPr>
      </w:pPr>
      <w:r>
        <w:rPr>
          <w:rFonts w:ascii="Arial" w:hAnsi="Arial" w:cs="Arial"/>
          <w:sz w:val="20"/>
          <w:szCs w:val="20"/>
        </w:rPr>
        <w:t xml:space="preserve">Processed meat </w:t>
      </w:r>
      <w:r w:rsidR="008A7E31">
        <w:rPr>
          <w:rFonts w:ascii="Arial" w:hAnsi="Arial" w:cs="Arial"/>
          <w:sz w:val="20"/>
          <w:szCs w:val="20"/>
        </w:rPr>
        <w:t xml:space="preserve">dollars </w:t>
      </w:r>
      <w:r>
        <w:rPr>
          <w:rFonts w:ascii="Arial" w:hAnsi="Arial" w:cs="Arial"/>
          <w:sz w:val="20"/>
          <w:szCs w:val="20"/>
        </w:rPr>
        <w:t xml:space="preserve">grew </w:t>
      </w:r>
      <w:r w:rsidR="00DA5B0E">
        <w:rPr>
          <w:rFonts w:ascii="Arial" w:hAnsi="Arial" w:cs="Arial"/>
          <w:sz w:val="20"/>
          <w:szCs w:val="20"/>
        </w:rPr>
        <w:t xml:space="preserve">by </w:t>
      </w:r>
      <w:r w:rsidR="008C4842">
        <w:rPr>
          <w:rFonts w:ascii="Arial" w:hAnsi="Arial" w:cs="Arial"/>
          <w:sz w:val="20"/>
          <w:szCs w:val="20"/>
        </w:rPr>
        <w:t>+</w:t>
      </w:r>
      <w:r w:rsidR="00C632A8">
        <w:rPr>
          <w:rFonts w:ascii="Arial" w:hAnsi="Arial" w:cs="Arial"/>
          <w:sz w:val="20"/>
          <w:szCs w:val="20"/>
        </w:rPr>
        <w:t>8.1</w:t>
      </w:r>
      <w:r w:rsidR="00DA5B0E">
        <w:rPr>
          <w:rFonts w:ascii="Arial" w:hAnsi="Arial" w:cs="Arial"/>
          <w:sz w:val="20"/>
          <w:szCs w:val="20"/>
        </w:rPr>
        <w:t>%</w:t>
      </w:r>
      <w:r w:rsidR="0053616C">
        <w:rPr>
          <w:rFonts w:ascii="Arial" w:hAnsi="Arial" w:cs="Arial"/>
          <w:sz w:val="20"/>
          <w:szCs w:val="20"/>
        </w:rPr>
        <w:t xml:space="preserve"> </w:t>
      </w:r>
      <w:r w:rsidR="00B34DE6">
        <w:rPr>
          <w:rFonts w:ascii="Arial" w:hAnsi="Arial" w:cs="Arial"/>
          <w:sz w:val="20"/>
          <w:szCs w:val="20"/>
        </w:rPr>
        <w:t xml:space="preserve">in </w:t>
      </w:r>
      <w:r w:rsidR="00C632A8">
        <w:rPr>
          <w:rFonts w:ascii="Arial" w:hAnsi="Arial" w:cs="Arial"/>
          <w:sz w:val="20"/>
          <w:szCs w:val="20"/>
        </w:rPr>
        <w:t xml:space="preserve">September </w:t>
      </w:r>
      <w:r w:rsidR="00B34DE6">
        <w:rPr>
          <w:rFonts w:ascii="Arial" w:hAnsi="Arial" w:cs="Arial"/>
          <w:sz w:val="20"/>
          <w:szCs w:val="20"/>
        </w:rPr>
        <w:t>2022</w:t>
      </w:r>
      <w:r w:rsidR="00C632A8">
        <w:rPr>
          <w:rFonts w:ascii="Arial" w:hAnsi="Arial" w:cs="Arial"/>
          <w:sz w:val="20"/>
          <w:szCs w:val="20"/>
        </w:rPr>
        <w:t xml:space="preserve"> when compared to year ago</w:t>
      </w:r>
      <w:r w:rsidR="004D631A">
        <w:rPr>
          <w:rFonts w:ascii="Arial" w:hAnsi="Arial" w:cs="Arial"/>
          <w:sz w:val="20"/>
          <w:szCs w:val="20"/>
        </w:rPr>
        <w:t xml:space="preserve">. Packaged lunchmeat, sausage, hot dogs and processed chicken gained, whereas bacon and smoked ham </w:t>
      </w:r>
      <w:r w:rsidR="000A74D9">
        <w:rPr>
          <w:rFonts w:ascii="Arial" w:hAnsi="Arial" w:cs="Arial"/>
          <w:sz w:val="20"/>
          <w:szCs w:val="20"/>
        </w:rPr>
        <w:t xml:space="preserve">were unable to meet the 2021 sales levels. In pounds, all areas were down year-on-year with the exception of hotdogs. </w:t>
      </w:r>
    </w:p>
    <w:p w14:paraId="4B916D78" w14:textId="77777777" w:rsidR="0076155D" w:rsidRDefault="0076155D" w:rsidP="00FF790A">
      <w:pPr>
        <w:pStyle w:val="NoSpacing"/>
        <w:rPr>
          <w:rFonts w:ascii="Arial" w:hAnsi="Arial" w:cs="Arial"/>
          <w:sz w:val="20"/>
          <w:szCs w:val="20"/>
        </w:rPr>
      </w:pPr>
    </w:p>
    <w:tbl>
      <w:tblPr>
        <w:tblStyle w:val="LightShading-Accent5"/>
        <w:tblW w:w="10490" w:type="dxa"/>
        <w:tblBorders>
          <w:top w:val="none" w:sz="0" w:space="0" w:color="auto"/>
          <w:bottom w:val="none" w:sz="0" w:space="0" w:color="auto"/>
        </w:tblBorders>
        <w:tblLayout w:type="fixed"/>
        <w:tblLook w:val="04A0" w:firstRow="1" w:lastRow="0" w:firstColumn="1" w:lastColumn="0" w:noHBand="0" w:noVBand="1"/>
      </w:tblPr>
      <w:tblGrid>
        <w:gridCol w:w="1710"/>
        <w:gridCol w:w="700"/>
        <w:gridCol w:w="709"/>
        <w:gridCol w:w="709"/>
        <w:gridCol w:w="708"/>
        <w:gridCol w:w="709"/>
        <w:gridCol w:w="709"/>
        <w:gridCol w:w="709"/>
        <w:gridCol w:w="708"/>
        <w:gridCol w:w="709"/>
        <w:gridCol w:w="830"/>
        <w:gridCol w:w="810"/>
        <w:gridCol w:w="770"/>
      </w:tblGrid>
      <w:tr w:rsidR="0036550E" w:rsidRPr="00346DE1" w14:paraId="3CAAB185" w14:textId="77777777" w:rsidTr="00C632A8">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10" w:type="dxa"/>
            <w:tcBorders>
              <w:top w:val="none" w:sz="0" w:space="0" w:color="auto"/>
              <w:bottom w:val="none" w:sz="0" w:space="0" w:color="auto"/>
            </w:tcBorders>
            <w:shd w:val="clear" w:color="auto" w:fill="17365D" w:themeFill="text2" w:themeFillShade="BF"/>
            <w:vAlign w:val="center"/>
          </w:tcPr>
          <w:p w14:paraId="7F919EDC" w14:textId="77777777" w:rsidR="00201F76" w:rsidRPr="00346DE1" w:rsidRDefault="00201F76" w:rsidP="00BB443E">
            <w:pPr>
              <w:rPr>
                <w:rFonts w:ascii="Arial" w:hAnsi="Arial" w:cs="Arial"/>
                <w:color w:val="215868" w:themeColor="accent5" w:themeShade="80"/>
                <w:sz w:val="18"/>
                <w:szCs w:val="18"/>
              </w:rPr>
            </w:pPr>
          </w:p>
        </w:tc>
        <w:tc>
          <w:tcPr>
            <w:tcW w:w="700" w:type="dxa"/>
            <w:tcBorders>
              <w:top w:val="none" w:sz="0" w:space="0" w:color="auto"/>
              <w:bottom w:val="none" w:sz="0" w:space="0" w:color="auto"/>
            </w:tcBorders>
            <w:shd w:val="clear" w:color="auto" w:fill="17365D" w:themeFill="text2" w:themeFillShade="BF"/>
            <w:vAlign w:val="center"/>
          </w:tcPr>
          <w:p w14:paraId="10885EBA" w14:textId="2EC89D80" w:rsidR="00201F76" w:rsidRDefault="00201F76" w:rsidP="00BB443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215868" w:themeColor="accent5" w:themeShade="80"/>
                <w:sz w:val="18"/>
              </w:rPr>
            </w:pPr>
            <w:r w:rsidRPr="006A79B7">
              <w:rPr>
                <w:rFonts w:ascii="Arial" w:hAnsi="Arial" w:cs="Arial"/>
                <w:color w:val="FFFFFF" w:themeColor="background1"/>
                <w:sz w:val="18"/>
                <w:szCs w:val="18"/>
              </w:rPr>
              <w:t>2019</w:t>
            </w:r>
          </w:p>
        </w:tc>
        <w:tc>
          <w:tcPr>
            <w:tcW w:w="709" w:type="dxa"/>
            <w:tcBorders>
              <w:top w:val="none" w:sz="0" w:space="0" w:color="auto"/>
              <w:bottom w:val="none" w:sz="0" w:space="0" w:color="auto"/>
            </w:tcBorders>
            <w:shd w:val="clear" w:color="auto" w:fill="17365D" w:themeFill="text2" w:themeFillShade="BF"/>
            <w:vAlign w:val="center"/>
          </w:tcPr>
          <w:p w14:paraId="5AA6C256" w14:textId="614F0F2A" w:rsidR="00201F76" w:rsidRDefault="00201F76" w:rsidP="00BB443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215868" w:themeColor="accent5" w:themeShade="80"/>
                <w:sz w:val="18"/>
              </w:rPr>
            </w:pPr>
            <w:r w:rsidRPr="006A79B7">
              <w:rPr>
                <w:rFonts w:ascii="Arial" w:hAnsi="Arial" w:cs="Arial"/>
                <w:color w:val="FFFFFF" w:themeColor="background1"/>
                <w:sz w:val="18"/>
                <w:szCs w:val="18"/>
              </w:rPr>
              <w:t>2020</w:t>
            </w:r>
          </w:p>
        </w:tc>
        <w:tc>
          <w:tcPr>
            <w:tcW w:w="709" w:type="dxa"/>
            <w:tcBorders>
              <w:top w:val="none" w:sz="0" w:space="0" w:color="auto"/>
              <w:bottom w:val="none" w:sz="0" w:space="0" w:color="auto"/>
            </w:tcBorders>
            <w:shd w:val="clear" w:color="auto" w:fill="17365D" w:themeFill="text2" w:themeFillShade="BF"/>
            <w:vAlign w:val="center"/>
          </w:tcPr>
          <w:p w14:paraId="4A7A42FF" w14:textId="3105AC07" w:rsidR="00201F76" w:rsidRPr="00346DE1" w:rsidRDefault="00201F76" w:rsidP="00BB443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215868" w:themeColor="accent5" w:themeShade="80"/>
                <w:sz w:val="18"/>
                <w:szCs w:val="18"/>
              </w:rPr>
            </w:pPr>
            <w:r w:rsidRPr="006A79B7">
              <w:rPr>
                <w:rFonts w:ascii="Arial" w:hAnsi="Arial" w:cs="Arial"/>
                <w:color w:val="FFFFFF" w:themeColor="background1"/>
                <w:sz w:val="18"/>
                <w:szCs w:val="18"/>
              </w:rPr>
              <w:t>Q1 21</w:t>
            </w:r>
          </w:p>
        </w:tc>
        <w:tc>
          <w:tcPr>
            <w:tcW w:w="708" w:type="dxa"/>
            <w:tcBorders>
              <w:top w:val="none" w:sz="0" w:space="0" w:color="auto"/>
              <w:bottom w:val="none" w:sz="0" w:space="0" w:color="auto"/>
            </w:tcBorders>
            <w:shd w:val="clear" w:color="auto" w:fill="17365D" w:themeFill="text2" w:themeFillShade="BF"/>
            <w:vAlign w:val="center"/>
          </w:tcPr>
          <w:p w14:paraId="4F68FDBD" w14:textId="41A5665A" w:rsidR="00201F76" w:rsidRPr="00346DE1" w:rsidRDefault="00201F76" w:rsidP="00BB443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215868" w:themeColor="accent5" w:themeShade="80"/>
                <w:sz w:val="18"/>
                <w:szCs w:val="18"/>
              </w:rPr>
            </w:pPr>
            <w:r w:rsidRPr="006A79B7">
              <w:rPr>
                <w:rFonts w:ascii="Arial" w:hAnsi="Arial" w:cs="Arial"/>
                <w:color w:val="FFFFFF" w:themeColor="background1"/>
                <w:sz w:val="18"/>
                <w:szCs w:val="18"/>
              </w:rPr>
              <w:t>Q2 21</w:t>
            </w:r>
          </w:p>
        </w:tc>
        <w:tc>
          <w:tcPr>
            <w:tcW w:w="709" w:type="dxa"/>
            <w:tcBorders>
              <w:top w:val="none" w:sz="0" w:space="0" w:color="auto"/>
              <w:bottom w:val="none" w:sz="0" w:space="0" w:color="auto"/>
            </w:tcBorders>
            <w:shd w:val="clear" w:color="auto" w:fill="17365D" w:themeFill="text2" w:themeFillShade="BF"/>
            <w:vAlign w:val="center"/>
          </w:tcPr>
          <w:p w14:paraId="09DB11FB" w14:textId="0154746C" w:rsidR="00201F76" w:rsidRDefault="00201F76" w:rsidP="00BB443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215868" w:themeColor="accent5" w:themeShade="80"/>
                <w:sz w:val="18"/>
                <w:szCs w:val="18"/>
              </w:rPr>
            </w:pPr>
            <w:r w:rsidRPr="006A79B7">
              <w:rPr>
                <w:rFonts w:ascii="Arial" w:hAnsi="Arial" w:cs="Arial"/>
                <w:color w:val="FFFFFF" w:themeColor="background1"/>
                <w:sz w:val="18"/>
                <w:szCs w:val="18"/>
              </w:rPr>
              <w:t>Q3 21</w:t>
            </w:r>
          </w:p>
        </w:tc>
        <w:tc>
          <w:tcPr>
            <w:tcW w:w="709" w:type="dxa"/>
            <w:tcBorders>
              <w:top w:val="none" w:sz="0" w:space="0" w:color="auto"/>
              <w:bottom w:val="none" w:sz="0" w:space="0" w:color="auto"/>
            </w:tcBorders>
            <w:shd w:val="clear" w:color="auto" w:fill="17365D" w:themeFill="text2" w:themeFillShade="BF"/>
            <w:vAlign w:val="center"/>
          </w:tcPr>
          <w:p w14:paraId="344D8740" w14:textId="20031207" w:rsidR="00201F76" w:rsidRDefault="00201F76" w:rsidP="00BB443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215868" w:themeColor="accent5" w:themeShade="80"/>
                <w:sz w:val="18"/>
                <w:szCs w:val="18"/>
              </w:rPr>
            </w:pPr>
            <w:r w:rsidRPr="006A79B7">
              <w:rPr>
                <w:rFonts w:ascii="Arial" w:hAnsi="Arial" w:cs="Arial"/>
                <w:color w:val="FFFFFF" w:themeColor="background1"/>
                <w:sz w:val="18"/>
                <w:szCs w:val="18"/>
              </w:rPr>
              <w:t>Q4 21</w:t>
            </w:r>
          </w:p>
        </w:tc>
        <w:tc>
          <w:tcPr>
            <w:tcW w:w="709" w:type="dxa"/>
            <w:tcBorders>
              <w:top w:val="none" w:sz="0" w:space="0" w:color="auto"/>
              <w:bottom w:val="none" w:sz="0" w:space="0" w:color="auto"/>
            </w:tcBorders>
            <w:shd w:val="clear" w:color="auto" w:fill="17365D" w:themeFill="text2" w:themeFillShade="BF"/>
            <w:vAlign w:val="center"/>
          </w:tcPr>
          <w:p w14:paraId="1D4A7D84" w14:textId="30D75243" w:rsidR="00201F76" w:rsidRDefault="00201F76" w:rsidP="00BB443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215868" w:themeColor="accent5" w:themeShade="80"/>
                <w:sz w:val="18"/>
                <w:szCs w:val="18"/>
              </w:rPr>
            </w:pPr>
            <w:r w:rsidRPr="006A79B7">
              <w:rPr>
                <w:rFonts w:ascii="Arial" w:hAnsi="Arial" w:cs="Arial"/>
                <w:color w:val="FFFFFF" w:themeColor="background1"/>
                <w:sz w:val="18"/>
                <w:szCs w:val="18"/>
              </w:rPr>
              <w:t>Q1 22</w:t>
            </w:r>
          </w:p>
        </w:tc>
        <w:tc>
          <w:tcPr>
            <w:tcW w:w="708" w:type="dxa"/>
            <w:tcBorders>
              <w:top w:val="none" w:sz="0" w:space="0" w:color="auto"/>
              <w:bottom w:val="none" w:sz="0" w:space="0" w:color="auto"/>
            </w:tcBorders>
            <w:shd w:val="clear" w:color="auto" w:fill="17365D" w:themeFill="text2" w:themeFillShade="BF"/>
            <w:vAlign w:val="center"/>
          </w:tcPr>
          <w:p w14:paraId="4DBDED92" w14:textId="4F7BB0C3" w:rsidR="00201F76" w:rsidRDefault="00201F76" w:rsidP="00BB443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215868" w:themeColor="accent5" w:themeShade="80"/>
                <w:sz w:val="18"/>
                <w:szCs w:val="18"/>
              </w:rPr>
            </w:pPr>
            <w:r>
              <w:rPr>
                <w:rFonts w:ascii="Arial" w:hAnsi="Arial" w:cs="Arial"/>
                <w:color w:val="FFFFFF" w:themeColor="background1"/>
                <w:sz w:val="18"/>
                <w:szCs w:val="18"/>
              </w:rPr>
              <w:t>Q2 22</w:t>
            </w:r>
          </w:p>
        </w:tc>
        <w:tc>
          <w:tcPr>
            <w:tcW w:w="709" w:type="dxa"/>
            <w:tcBorders>
              <w:top w:val="none" w:sz="0" w:space="0" w:color="auto"/>
              <w:bottom w:val="none" w:sz="0" w:space="0" w:color="auto"/>
            </w:tcBorders>
            <w:shd w:val="clear" w:color="auto" w:fill="17365D" w:themeFill="text2" w:themeFillShade="BF"/>
            <w:vAlign w:val="center"/>
          </w:tcPr>
          <w:p w14:paraId="6F8744DD" w14:textId="05C20BF6" w:rsidR="00201F76" w:rsidRDefault="00201F76" w:rsidP="00201F76">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Q3 22</w:t>
            </w:r>
          </w:p>
        </w:tc>
        <w:tc>
          <w:tcPr>
            <w:tcW w:w="830" w:type="dxa"/>
            <w:tcBorders>
              <w:top w:val="none" w:sz="0" w:space="0" w:color="auto"/>
              <w:bottom w:val="none" w:sz="0" w:space="0" w:color="auto"/>
            </w:tcBorders>
            <w:shd w:val="clear" w:color="auto" w:fill="17365D" w:themeFill="text2" w:themeFillShade="BF"/>
            <w:vAlign w:val="center"/>
          </w:tcPr>
          <w:p w14:paraId="0A4FD1DC" w14:textId="22C4B603" w:rsidR="00201F76" w:rsidRDefault="00201F76" w:rsidP="0024319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215868" w:themeColor="accent5" w:themeShade="80"/>
                <w:sz w:val="18"/>
                <w:szCs w:val="18"/>
              </w:rPr>
            </w:pPr>
            <w:r>
              <w:rPr>
                <w:rFonts w:ascii="Arial" w:hAnsi="Arial" w:cs="Arial"/>
                <w:color w:val="FFFFFF" w:themeColor="background1"/>
                <w:sz w:val="18"/>
                <w:szCs w:val="18"/>
              </w:rPr>
              <w:t>Sep</w:t>
            </w:r>
            <w:r w:rsidRPr="006A79B7">
              <w:rPr>
                <w:rFonts w:ascii="Arial" w:hAnsi="Arial" w:cs="Arial"/>
                <w:color w:val="FFFFFF" w:themeColor="background1"/>
                <w:sz w:val="18"/>
                <w:szCs w:val="18"/>
              </w:rPr>
              <w:t xml:space="preserve"> 22</w:t>
            </w:r>
          </w:p>
        </w:tc>
        <w:tc>
          <w:tcPr>
            <w:tcW w:w="810" w:type="dxa"/>
            <w:tcBorders>
              <w:top w:val="none" w:sz="0" w:space="0" w:color="auto"/>
              <w:bottom w:val="none" w:sz="0" w:space="0" w:color="auto"/>
            </w:tcBorders>
            <w:shd w:val="clear" w:color="auto" w:fill="17365D" w:themeFill="text2" w:themeFillShade="BF"/>
            <w:vAlign w:val="center"/>
          </w:tcPr>
          <w:p w14:paraId="333293E7" w14:textId="44578A42" w:rsidR="00201F76" w:rsidRDefault="00201F76" w:rsidP="00BB443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215868" w:themeColor="accent5" w:themeShade="80"/>
                <w:sz w:val="18"/>
                <w:szCs w:val="18"/>
              </w:rPr>
            </w:pPr>
            <w:r w:rsidRPr="006A79B7">
              <w:rPr>
                <w:rFonts w:ascii="Arial" w:hAnsi="Arial" w:cs="Arial"/>
                <w:color w:val="FFFFFF" w:themeColor="background1"/>
                <w:sz w:val="18"/>
                <w:szCs w:val="18"/>
              </w:rPr>
              <w:t>$ vs YA</w:t>
            </w:r>
          </w:p>
        </w:tc>
        <w:tc>
          <w:tcPr>
            <w:tcW w:w="770" w:type="dxa"/>
            <w:tcBorders>
              <w:top w:val="none" w:sz="0" w:space="0" w:color="auto"/>
              <w:bottom w:val="none" w:sz="0" w:space="0" w:color="auto"/>
            </w:tcBorders>
            <w:shd w:val="clear" w:color="auto" w:fill="17365D" w:themeFill="text2" w:themeFillShade="BF"/>
            <w:vAlign w:val="center"/>
          </w:tcPr>
          <w:p w14:paraId="3660DA7D" w14:textId="6D5FD16D" w:rsidR="00201F76" w:rsidRDefault="00201F76" w:rsidP="00BB443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215868" w:themeColor="accent5" w:themeShade="80"/>
                <w:sz w:val="18"/>
                <w:szCs w:val="18"/>
              </w:rPr>
            </w:pPr>
            <w:proofErr w:type="spellStart"/>
            <w:r>
              <w:rPr>
                <w:rFonts w:ascii="Arial" w:hAnsi="Arial" w:cs="Arial"/>
                <w:color w:val="FFFFFF" w:themeColor="background1"/>
                <w:sz w:val="18"/>
                <w:szCs w:val="18"/>
              </w:rPr>
              <w:t>l</w:t>
            </w:r>
            <w:r w:rsidRPr="006A79B7">
              <w:rPr>
                <w:rFonts w:ascii="Arial" w:hAnsi="Arial" w:cs="Arial"/>
                <w:color w:val="FFFFFF" w:themeColor="background1"/>
                <w:sz w:val="18"/>
                <w:szCs w:val="18"/>
              </w:rPr>
              <w:t>bs</w:t>
            </w:r>
            <w:proofErr w:type="spellEnd"/>
            <w:r w:rsidRPr="006A79B7">
              <w:rPr>
                <w:rFonts w:ascii="Arial" w:hAnsi="Arial" w:cs="Arial"/>
                <w:color w:val="FFFFFF" w:themeColor="background1"/>
                <w:sz w:val="18"/>
                <w:szCs w:val="18"/>
              </w:rPr>
              <w:t xml:space="preserve"> vs YA</w:t>
            </w:r>
          </w:p>
        </w:tc>
      </w:tr>
      <w:tr w:rsidR="0036550E" w:rsidRPr="00346DE1" w14:paraId="6A4AFD27" w14:textId="77777777" w:rsidTr="00C632A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1A3B6B6D" w14:textId="77777777" w:rsidR="00201F76" w:rsidRPr="00346DE1" w:rsidRDefault="00201F76" w:rsidP="00C84F6D">
            <w:pPr>
              <w:rPr>
                <w:rFonts w:ascii="Arial" w:hAnsi="Arial" w:cs="Arial"/>
                <w:bCs w:val="0"/>
                <w:color w:val="215868" w:themeColor="accent5" w:themeShade="80"/>
                <w:sz w:val="18"/>
                <w:szCs w:val="18"/>
              </w:rPr>
            </w:pPr>
            <w:r w:rsidRPr="00346DE1">
              <w:rPr>
                <w:rFonts w:ascii="Arial" w:hAnsi="Arial" w:cs="Arial"/>
                <w:bCs w:val="0"/>
                <w:color w:val="215868" w:themeColor="accent5" w:themeShade="80"/>
                <w:sz w:val="18"/>
                <w:szCs w:val="18"/>
              </w:rPr>
              <w:t>Processed meat</w:t>
            </w:r>
          </w:p>
        </w:tc>
        <w:tc>
          <w:tcPr>
            <w:tcW w:w="700" w:type="dxa"/>
            <w:vAlign w:val="center"/>
          </w:tcPr>
          <w:p w14:paraId="7494F110" w14:textId="4D57EBE5" w:rsidR="00201F76" w:rsidRPr="00F15F7E" w:rsidRDefault="00201F76" w:rsidP="00C84F6D">
            <w:pPr>
              <w:jc w:val="right"/>
              <w:cnfStyle w:val="000000100000" w:firstRow="0" w:lastRow="0" w:firstColumn="0" w:lastColumn="0" w:oddVBand="0" w:evenVBand="0" w:oddHBand="1" w:evenHBand="0" w:firstRowFirstColumn="0" w:firstRowLastColumn="0" w:lastRowFirstColumn="0" w:lastRowLastColumn="0"/>
              <w:rPr>
                <w:b/>
              </w:rPr>
            </w:pPr>
            <w:r>
              <w:rPr>
                <w:rFonts w:ascii="Arial" w:hAnsi="Arial" w:cs="Arial"/>
                <w:b/>
                <w:color w:val="215868" w:themeColor="accent5" w:themeShade="80"/>
                <w:sz w:val="18"/>
              </w:rPr>
              <w:t>+2</w:t>
            </w:r>
            <w:r w:rsidRPr="00F15F7E">
              <w:rPr>
                <w:rFonts w:ascii="Arial" w:hAnsi="Arial" w:cs="Arial"/>
                <w:b/>
                <w:color w:val="215868" w:themeColor="accent5" w:themeShade="80"/>
                <w:sz w:val="18"/>
              </w:rPr>
              <w:t>%</w:t>
            </w:r>
          </w:p>
        </w:tc>
        <w:tc>
          <w:tcPr>
            <w:tcW w:w="709" w:type="dxa"/>
            <w:vAlign w:val="center"/>
          </w:tcPr>
          <w:p w14:paraId="10F0E30F" w14:textId="597446B4" w:rsidR="00201F76" w:rsidRPr="00F15F7E" w:rsidRDefault="00201F76" w:rsidP="00C84F6D">
            <w:pPr>
              <w:jc w:val="right"/>
              <w:cnfStyle w:val="000000100000" w:firstRow="0" w:lastRow="0" w:firstColumn="0" w:lastColumn="0" w:oddVBand="0" w:evenVBand="0" w:oddHBand="1" w:evenHBand="0" w:firstRowFirstColumn="0" w:firstRowLastColumn="0" w:lastRowFirstColumn="0" w:lastRowLastColumn="0"/>
              <w:rPr>
                <w:b/>
              </w:rPr>
            </w:pPr>
            <w:r>
              <w:rPr>
                <w:rFonts w:ascii="Arial" w:hAnsi="Arial" w:cs="Arial"/>
                <w:b/>
                <w:color w:val="215868" w:themeColor="accent5" w:themeShade="80"/>
                <w:sz w:val="18"/>
              </w:rPr>
              <w:t>+16</w:t>
            </w:r>
            <w:r w:rsidRPr="00F15F7E">
              <w:rPr>
                <w:rFonts w:ascii="Arial" w:hAnsi="Arial" w:cs="Arial"/>
                <w:b/>
                <w:color w:val="215868" w:themeColor="accent5" w:themeShade="80"/>
                <w:sz w:val="18"/>
              </w:rPr>
              <w:t>%</w:t>
            </w:r>
          </w:p>
        </w:tc>
        <w:tc>
          <w:tcPr>
            <w:tcW w:w="709" w:type="dxa"/>
            <w:vAlign w:val="center"/>
          </w:tcPr>
          <w:p w14:paraId="04436DD3" w14:textId="6AA403B4" w:rsidR="00201F76" w:rsidRPr="00346DE1" w:rsidRDefault="00201F76" w:rsidP="00C84F6D">
            <w:pPr>
              <w:jc w:val="right"/>
              <w:cnfStyle w:val="000000100000" w:firstRow="0" w:lastRow="0" w:firstColumn="0" w:lastColumn="0" w:oddVBand="0" w:evenVBand="0" w:oddHBand="1" w:evenHBand="0" w:firstRowFirstColumn="0" w:firstRowLastColumn="0" w:lastRowFirstColumn="0" w:lastRowLastColumn="0"/>
              <w:rPr>
                <w:b/>
                <w:color w:val="215868" w:themeColor="accent5" w:themeShade="80"/>
              </w:rPr>
            </w:pPr>
            <w:r>
              <w:rPr>
                <w:rFonts w:ascii="Arial" w:hAnsi="Arial" w:cs="Arial"/>
                <w:b/>
                <w:color w:val="215868" w:themeColor="accent5" w:themeShade="80"/>
                <w:sz w:val="18"/>
                <w:szCs w:val="18"/>
              </w:rPr>
              <w:t>+0</w:t>
            </w:r>
            <w:r w:rsidRPr="00346DE1">
              <w:rPr>
                <w:rFonts w:ascii="Arial" w:hAnsi="Arial" w:cs="Arial"/>
                <w:b/>
                <w:color w:val="215868" w:themeColor="accent5" w:themeShade="80"/>
                <w:sz w:val="18"/>
                <w:szCs w:val="18"/>
              </w:rPr>
              <w:t>%</w:t>
            </w:r>
          </w:p>
        </w:tc>
        <w:tc>
          <w:tcPr>
            <w:tcW w:w="708" w:type="dxa"/>
            <w:vAlign w:val="center"/>
          </w:tcPr>
          <w:p w14:paraId="29D8F40C" w14:textId="04B3DC05" w:rsidR="00201F76" w:rsidRPr="00346DE1" w:rsidRDefault="00201F76" w:rsidP="00C84F6D">
            <w:pPr>
              <w:jc w:val="right"/>
              <w:cnfStyle w:val="000000100000" w:firstRow="0" w:lastRow="0" w:firstColumn="0" w:lastColumn="0" w:oddVBand="0" w:evenVBand="0" w:oddHBand="1" w:evenHBand="0" w:firstRowFirstColumn="0" w:firstRowLastColumn="0" w:lastRowFirstColumn="0" w:lastRowLastColumn="0"/>
              <w:rPr>
                <w:b/>
                <w:color w:val="215868" w:themeColor="accent5" w:themeShade="80"/>
              </w:rPr>
            </w:pPr>
            <w:r>
              <w:rPr>
                <w:rFonts w:ascii="Arial" w:hAnsi="Arial" w:cs="Arial"/>
                <w:b/>
                <w:color w:val="215868" w:themeColor="accent5" w:themeShade="80"/>
                <w:sz w:val="18"/>
                <w:szCs w:val="18"/>
              </w:rPr>
              <w:t>-7</w:t>
            </w:r>
            <w:r w:rsidRPr="00346DE1">
              <w:rPr>
                <w:rFonts w:ascii="Arial" w:hAnsi="Arial" w:cs="Arial"/>
                <w:b/>
                <w:color w:val="215868" w:themeColor="accent5" w:themeShade="80"/>
                <w:sz w:val="18"/>
                <w:szCs w:val="18"/>
              </w:rPr>
              <w:t>%</w:t>
            </w:r>
          </w:p>
        </w:tc>
        <w:tc>
          <w:tcPr>
            <w:tcW w:w="709" w:type="dxa"/>
            <w:vAlign w:val="center"/>
          </w:tcPr>
          <w:p w14:paraId="03173346" w14:textId="34683738" w:rsidR="00201F76" w:rsidRDefault="00201F76"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18"/>
              </w:rPr>
            </w:pPr>
            <w:r>
              <w:rPr>
                <w:rFonts w:ascii="Arial" w:hAnsi="Arial" w:cs="Arial"/>
                <w:b/>
                <w:color w:val="215868" w:themeColor="accent5" w:themeShade="80"/>
                <w:sz w:val="18"/>
                <w:szCs w:val="18"/>
              </w:rPr>
              <w:t>+3%</w:t>
            </w:r>
          </w:p>
        </w:tc>
        <w:tc>
          <w:tcPr>
            <w:tcW w:w="709" w:type="dxa"/>
            <w:vAlign w:val="center"/>
          </w:tcPr>
          <w:p w14:paraId="2C16BFC6" w14:textId="5224E4FC" w:rsidR="00201F76" w:rsidRDefault="00201F76"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18"/>
              </w:rPr>
            </w:pPr>
            <w:r>
              <w:rPr>
                <w:rFonts w:ascii="Arial" w:hAnsi="Arial" w:cs="Arial"/>
                <w:b/>
                <w:color w:val="215868" w:themeColor="accent5" w:themeShade="80"/>
                <w:sz w:val="18"/>
                <w:szCs w:val="18"/>
              </w:rPr>
              <w:t>+6%</w:t>
            </w:r>
          </w:p>
        </w:tc>
        <w:tc>
          <w:tcPr>
            <w:tcW w:w="709" w:type="dxa"/>
            <w:vAlign w:val="center"/>
          </w:tcPr>
          <w:p w14:paraId="4EDD1FAB" w14:textId="7829F894" w:rsidR="00201F76" w:rsidRDefault="00201F76"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18"/>
              </w:rPr>
            </w:pPr>
            <w:r>
              <w:rPr>
                <w:rFonts w:ascii="Arial" w:hAnsi="Arial" w:cs="Arial"/>
                <w:b/>
                <w:color w:val="215868" w:themeColor="accent5" w:themeShade="80"/>
                <w:sz w:val="18"/>
                <w:szCs w:val="18"/>
              </w:rPr>
              <w:t>+8%</w:t>
            </w:r>
          </w:p>
        </w:tc>
        <w:tc>
          <w:tcPr>
            <w:tcW w:w="708" w:type="dxa"/>
            <w:vAlign w:val="center"/>
          </w:tcPr>
          <w:p w14:paraId="1A9470F0" w14:textId="4A41D200" w:rsidR="00201F76" w:rsidRDefault="00201F76"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215868" w:themeColor="accent5" w:themeShade="80"/>
                <w:sz w:val="18"/>
                <w:szCs w:val="18"/>
              </w:rPr>
            </w:pPr>
            <w:r>
              <w:rPr>
                <w:rFonts w:ascii="Arial" w:hAnsi="Arial" w:cs="Arial"/>
                <w:b/>
                <w:color w:val="215868" w:themeColor="accent5" w:themeShade="80"/>
                <w:sz w:val="18"/>
                <w:szCs w:val="18"/>
              </w:rPr>
              <w:t>+10%</w:t>
            </w:r>
          </w:p>
        </w:tc>
        <w:tc>
          <w:tcPr>
            <w:tcW w:w="709" w:type="dxa"/>
            <w:vAlign w:val="center"/>
          </w:tcPr>
          <w:p w14:paraId="7AF1176E" w14:textId="46292299" w:rsidR="00201F76" w:rsidRPr="00156215" w:rsidRDefault="00C632A8" w:rsidP="003655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215868" w:themeColor="accent5" w:themeShade="80"/>
                <w:sz w:val="18"/>
                <w:szCs w:val="18"/>
              </w:rPr>
            </w:pPr>
            <w:r>
              <w:rPr>
                <w:rFonts w:ascii="Arial" w:hAnsi="Arial" w:cs="Arial"/>
                <w:b/>
                <w:bCs/>
                <w:color w:val="215868" w:themeColor="accent5" w:themeShade="80"/>
                <w:sz w:val="18"/>
                <w:szCs w:val="18"/>
              </w:rPr>
              <w:t>+3</w:t>
            </w:r>
            <w:r w:rsidR="0036550E" w:rsidRPr="00156215">
              <w:rPr>
                <w:rFonts w:ascii="Arial" w:hAnsi="Arial" w:cs="Arial"/>
                <w:b/>
                <w:bCs/>
                <w:color w:val="215868" w:themeColor="accent5" w:themeShade="80"/>
                <w:sz w:val="18"/>
                <w:szCs w:val="18"/>
              </w:rPr>
              <w:t>%</w:t>
            </w:r>
          </w:p>
        </w:tc>
        <w:tc>
          <w:tcPr>
            <w:tcW w:w="830" w:type="dxa"/>
            <w:vAlign w:val="center"/>
          </w:tcPr>
          <w:p w14:paraId="7FC7E35F" w14:textId="66937A04" w:rsidR="00201F76" w:rsidRPr="00DB1EB2" w:rsidRDefault="00201F76" w:rsidP="0036550E">
            <w:pPr>
              <w:jc w:val="right"/>
              <w:cnfStyle w:val="000000100000" w:firstRow="0" w:lastRow="0" w:firstColumn="0" w:lastColumn="0" w:oddVBand="0" w:evenVBand="0" w:oddHBand="1" w:evenHBand="0" w:firstRowFirstColumn="0" w:firstRowLastColumn="0" w:lastRowFirstColumn="0" w:lastRowLastColumn="0"/>
              <w:rPr>
                <w:b/>
                <w:color w:val="215868" w:themeColor="accent5" w:themeShade="80"/>
              </w:rPr>
            </w:pPr>
            <w:r w:rsidRPr="00DB1EB2">
              <w:rPr>
                <w:rFonts w:ascii="Arial" w:hAnsi="Arial" w:cs="Arial"/>
                <w:b/>
                <w:bCs/>
                <w:color w:val="215868" w:themeColor="accent5" w:themeShade="80"/>
                <w:sz w:val="18"/>
                <w:szCs w:val="18"/>
              </w:rPr>
              <w:t>$</w:t>
            </w:r>
            <w:r w:rsidR="00C632A8">
              <w:rPr>
                <w:rFonts w:ascii="Arial" w:hAnsi="Arial" w:cs="Arial"/>
                <w:b/>
                <w:bCs/>
                <w:color w:val="215868" w:themeColor="accent5" w:themeShade="80"/>
                <w:sz w:val="18"/>
                <w:szCs w:val="18"/>
              </w:rPr>
              <w:t>2.2</w:t>
            </w:r>
            <w:r w:rsidRPr="00DB1EB2">
              <w:rPr>
                <w:rFonts w:ascii="Arial" w:hAnsi="Arial" w:cs="Arial"/>
                <w:b/>
                <w:bCs/>
                <w:color w:val="215868" w:themeColor="accent5" w:themeShade="80"/>
                <w:sz w:val="18"/>
                <w:szCs w:val="18"/>
              </w:rPr>
              <w:t>B</w:t>
            </w:r>
          </w:p>
        </w:tc>
        <w:tc>
          <w:tcPr>
            <w:tcW w:w="810" w:type="dxa"/>
            <w:vAlign w:val="center"/>
          </w:tcPr>
          <w:p w14:paraId="326ABF8E" w14:textId="0DB0A21B" w:rsidR="00201F76" w:rsidRPr="00DB1EB2" w:rsidRDefault="00201F76" w:rsidP="00C84F6D">
            <w:pPr>
              <w:jc w:val="right"/>
              <w:cnfStyle w:val="000000100000" w:firstRow="0" w:lastRow="0" w:firstColumn="0" w:lastColumn="0" w:oddVBand="0" w:evenVBand="0" w:oddHBand="1" w:evenHBand="0" w:firstRowFirstColumn="0" w:firstRowLastColumn="0" w:lastRowFirstColumn="0" w:lastRowLastColumn="0"/>
              <w:rPr>
                <w:b/>
                <w:color w:val="215868" w:themeColor="accent5" w:themeShade="80"/>
              </w:rPr>
            </w:pPr>
            <w:r w:rsidRPr="00DB1EB2">
              <w:rPr>
                <w:rFonts w:ascii="Arial" w:hAnsi="Arial" w:cs="Arial"/>
                <w:b/>
                <w:bCs/>
                <w:color w:val="215868" w:themeColor="accent5" w:themeShade="80"/>
                <w:sz w:val="18"/>
                <w:szCs w:val="18"/>
              </w:rPr>
              <w:t>+</w:t>
            </w:r>
            <w:r w:rsidR="00C632A8">
              <w:rPr>
                <w:rFonts w:ascii="Arial" w:hAnsi="Arial" w:cs="Arial"/>
                <w:b/>
                <w:bCs/>
                <w:color w:val="215868" w:themeColor="accent5" w:themeShade="80"/>
                <w:sz w:val="18"/>
                <w:szCs w:val="18"/>
              </w:rPr>
              <w:t>8.1</w:t>
            </w:r>
            <w:r w:rsidRPr="00DB1EB2">
              <w:rPr>
                <w:rFonts w:ascii="Arial" w:hAnsi="Arial" w:cs="Arial"/>
                <w:b/>
                <w:bCs/>
                <w:color w:val="215868" w:themeColor="accent5" w:themeShade="80"/>
                <w:sz w:val="18"/>
                <w:szCs w:val="18"/>
              </w:rPr>
              <w:t>%</w:t>
            </w:r>
          </w:p>
        </w:tc>
        <w:tc>
          <w:tcPr>
            <w:tcW w:w="770" w:type="dxa"/>
            <w:vAlign w:val="center"/>
          </w:tcPr>
          <w:p w14:paraId="444370CB" w14:textId="52441EB6" w:rsidR="00201F76" w:rsidRPr="00DB1EB2" w:rsidRDefault="00201F76" w:rsidP="00C84F6D">
            <w:pPr>
              <w:jc w:val="right"/>
              <w:cnfStyle w:val="000000100000" w:firstRow="0" w:lastRow="0" w:firstColumn="0" w:lastColumn="0" w:oddVBand="0" w:evenVBand="0" w:oddHBand="1" w:evenHBand="0" w:firstRowFirstColumn="0" w:firstRowLastColumn="0" w:lastRowFirstColumn="0" w:lastRowLastColumn="0"/>
              <w:rPr>
                <w:b/>
                <w:color w:val="215868" w:themeColor="accent5" w:themeShade="80"/>
              </w:rPr>
            </w:pPr>
            <w:r w:rsidRPr="00DB1EB2">
              <w:rPr>
                <w:rFonts w:ascii="Arial" w:hAnsi="Arial" w:cs="Arial"/>
                <w:b/>
                <w:bCs/>
                <w:color w:val="215868" w:themeColor="accent5" w:themeShade="80"/>
                <w:sz w:val="18"/>
                <w:szCs w:val="18"/>
              </w:rPr>
              <w:t>-</w:t>
            </w:r>
            <w:r w:rsidR="00C632A8">
              <w:rPr>
                <w:rFonts w:ascii="Arial" w:hAnsi="Arial" w:cs="Arial"/>
                <w:b/>
                <w:bCs/>
                <w:color w:val="215868" w:themeColor="accent5" w:themeShade="80"/>
                <w:sz w:val="18"/>
                <w:szCs w:val="18"/>
              </w:rPr>
              <w:t>2.6</w:t>
            </w:r>
            <w:r w:rsidRPr="00DB1EB2">
              <w:rPr>
                <w:rFonts w:ascii="Arial" w:hAnsi="Arial" w:cs="Arial"/>
                <w:b/>
                <w:bCs/>
                <w:color w:val="215868" w:themeColor="accent5" w:themeShade="80"/>
                <w:sz w:val="18"/>
                <w:szCs w:val="18"/>
              </w:rPr>
              <w:t>%</w:t>
            </w:r>
          </w:p>
        </w:tc>
      </w:tr>
      <w:tr w:rsidR="0036550E" w14:paraId="6A9B2171" w14:textId="77777777" w:rsidTr="00C632A8">
        <w:trPr>
          <w:trHeight w:val="264"/>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19E0BCC7" w14:textId="77777777" w:rsidR="00201F76" w:rsidRPr="0076155D" w:rsidRDefault="00201F76" w:rsidP="00736BE7">
            <w:pPr>
              <w:rPr>
                <w:rFonts w:ascii="Arial" w:hAnsi="Arial" w:cs="Arial"/>
                <w:b w:val="0"/>
                <w:color w:val="215868" w:themeColor="accent5" w:themeShade="80"/>
                <w:sz w:val="18"/>
                <w:szCs w:val="18"/>
              </w:rPr>
            </w:pPr>
            <w:r w:rsidRPr="0076155D">
              <w:rPr>
                <w:rFonts w:ascii="Arial" w:hAnsi="Arial" w:cs="Arial"/>
                <w:b w:val="0"/>
                <w:color w:val="215868" w:themeColor="accent5" w:themeShade="80"/>
                <w:sz w:val="18"/>
                <w:szCs w:val="18"/>
              </w:rPr>
              <w:t>Packaged lunchmeat</w:t>
            </w:r>
          </w:p>
        </w:tc>
        <w:tc>
          <w:tcPr>
            <w:tcW w:w="700" w:type="dxa"/>
            <w:vAlign w:val="center"/>
          </w:tcPr>
          <w:p w14:paraId="5DB6DBA8" w14:textId="38F6B5B5" w:rsidR="00201F76" w:rsidRDefault="00201F76" w:rsidP="00736BE7">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rPr>
              <w:t>-1</w:t>
            </w:r>
            <w:r w:rsidRPr="00E277B8">
              <w:rPr>
                <w:rFonts w:ascii="Arial" w:hAnsi="Arial" w:cs="Arial"/>
                <w:color w:val="215868" w:themeColor="accent5" w:themeShade="80"/>
                <w:sz w:val="18"/>
              </w:rPr>
              <w:t>%</w:t>
            </w:r>
          </w:p>
        </w:tc>
        <w:tc>
          <w:tcPr>
            <w:tcW w:w="709" w:type="dxa"/>
            <w:vAlign w:val="center"/>
          </w:tcPr>
          <w:p w14:paraId="4B15B32B" w14:textId="05060EC9" w:rsidR="00201F76" w:rsidRDefault="00201F76" w:rsidP="00736BE7">
            <w:pPr>
              <w:jc w:val="right"/>
              <w:cnfStyle w:val="000000000000" w:firstRow="0" w:lastRow="0" w:firstColumn="0" w:lastColumn="0" w:oddVBand="0" w:evenVBand="0" w:oddHBand="0" w:evenHBand="0" w:firstRowFirstColumn="0" w:firstRowLastColumn="0" w:lastRowFirstColumn="0" w:lastRowLastColumn="0"/>
            </w:pPr>
            <w:r w:rsidRPr="004258EB">
              <w:rPr>
                <w:rFonts w:ascii="Arial" w:hAnsi="Arial" w:cs="Arial"/>
                <w:color w:val="215868" w:themeColor="accent5" w:themeShade="80"/>
                <w:sz w:val="18"/>
              </w:rPr>
              <w:t>+</w:t>
            </w:r>
            <w:r>
              <w:rPr>
                <w:rFonts w:ascii="Arial" w:hAnsi="Arial" w:cs="Arial"/>
                <w:color w:val="215868" w:themeColor="accent5" w:themeShade="80"/>
                <w:sz w:val="18"/>
              </w:rPr>
              <w:t>10</w:t>
            </w:r>
            <w:r w:rsidRPr="004258EB">
              <w:rPr>
                <w:rFonts w:ascii="Arial" w:hAnsi="Arial" w:cs="Arial"/>
                <w:color w:val="215868" w:themeColor="accent5" w:themeShade="80"/>
                <w:sz w:val="18"/>
              </w:rPr>
              <w:t>%</w:t>
            </w:r>
          </w:p>
        </w:tc>
        <w:tc>
          <w:tcPr>
            <w:tcW w:w="709" w:type="dxa"/>
            <w:vAlign w:val="center"/>
          </w:tcPr>
          <w:p w14:paraId="1A874B1F" w14:textId="4C8084E0" w:rsidR="00201F76" w:rsidRPr="0076155D" w:rsidRDefault="00201F76" w:rsidP="00736BE7">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Pr>
                <w:rFonts w:ascii="Arial" w:hAnsi="Arial" w:cs="Arial"/>
                <w:color w:val="215868" w:themeColor="accent5" w:themeShade="80"/>
                <w:sz w:val="18"/>
                <w:szCs w:val="18"/>
              </w:rPr>
              <w:t>-5</w:t>
            </w:r>
            <w:r w:rsidRPr="0076155D">
              <w:rPr>
                <w:rFonts w:ascii="Arial" w:hAnsi="Arial" w:cs="Arial"/>
                <w:color w:val="215868" w:themeColor="accent5" w:themeShade="80"/>
                <w:sz w:val="18"/>
                <w:szCs w:val="18"/>
              </w:rPr>
              <w:t>%</w:t>
            </w:r>
          </w:p>
        </w:tc>
        <w:tc>
          <w:tcPr>
            <w:tcW w:w="708" w:type="dxa"/>
            <w:vAlign w:val="center"/>
          </w:tcPr>
          <w:p w14:paraId="53599736" w14:textId="4B54EBF3" w:rsidR="00201F76" w:rsidRPr="0076155D" w:rsidRDefault="00201F76" w:rsidP="00736BE7">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Pr>
                <w:rFonts w:ascii="Arial" w:hAnsi="Arial" w:cs="Arial"/>
                <w:bCs/>
                <w:color w:val="215868" w:themeColor="accent5" w:themeShade="80"/>
                <w:sz w:val="18"/>
                <w:szCs w:val="18"/>
              </w:rPr>
              <w:t>-4</w:t>
            </w:r>
            <w:r w:rsidRPr="0076155D">
              <w:rPr>
                <w:rFonts w:ascii="Arial" w:hAnsi="Arial" w:cs="Arial"/>
                <w:bCs/>
                <w:color w:val="215868" w:themeColor="accent5" w:themeShade="80"/>
                <w:sz w:val="18"/>
                <w:szCs w:val="18"/>
              </w:rPr>
              <w:t>%</w:t>
            </w:r>
          </w:p>
        </w:tc>
        <w:tc>
          <w:tcPr>
            <w:tcW w:w="709" w:type="dxa"/>
            <w:vAlign w:val="center"/>
          </w:tcPr>
          <w:p w14:paraId="2F0AE03D" w14:textId="79FE4C46" w:rsidR="00201F76" w:rsidRPr="0076155D" w:rsidRDefault="00201F76"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757AD5">
              <w:rPr>
                <w:rFonts w:ascii="Arial" w:hAnsi="Arial" w:cs="Arial"/>
                <w:bCs/>
                <w:color w:val="215868" w:themeColor="accent5" w:themeShade="80"/>
                <w:sz w:val="18"/>
                <w:szCs w:val="18"/>
              </w:rPr>
              <w:t>+</w:t>
            </w:r>
            <w:r>
              <w:rPr>
                <w:rFonts w:ascii="Arial" w:hAnsi="Arial" w:cs="Arial"/>
                <w:bCs/>
                <w:color w:val="215868" w:themeColor="accent5" w:themeShade="80"/>
                <w:sz w:val="18"/>
                <w:szCs w:val="18"/>
              </w:rPr>
              <w:t>4</w:t>
            </w:r>
            <w:r w:rsidRPr="00757AD5">
              <w:rPr>
                <w:rFonts w:ascii="Arial" w:hAnsi="Arial" w:cs="Arial"/>
                <w:bCs/>
                <w:color w:val="215868" w:themeColor="accent5" w:themeShade="80"/>
                <w:sz w:val="18"/>
                <w:szCs w:val="18"/>
              </w:rPr>
              <w:t>%</w:t>
            </w:r>
          </w:p>
        </w:tc>
        <w:tc>
          <w:tcPr>
            <w:tcW w:w="709" w:type="dxa"/>
            <w:vAlign w:val="center"/>
          </w:tcPr>
          <w:p w14:paraId="4F495408" w14:textId="03D2D507" w:rsidR="00201F76" w:rsidRPr="0076155D" w:rsidRDefault="00201F76"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+6%</w:t>
            </w:r>
          </w:p>
        </w:tc>
        <w:tc>
          <w:tcPr>
            <w:tcW w:w="709" w:type="dxa"/>
            <w:vAlign w:val="center"/>
          </w:tcPr>
          <w:p w14:paraId="4B29A8DF" w14:textId="65BDEE1D" w:rsidR="00201F76" w:rsidRPr="0076155D" w:rsidRDefault="00201F76" w:rsidP="00201F7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6620F4">
              <w:rPr>
                <w:rFonts w:ascii="Arial" w:hAnsi="Arial" w:cs="Arial"/>
                <w:bCs/>
                <w:color w:val="215868" w:themeColor="accent5" w:themeShade="80"/>
                <w:sz w:val="18"/>
                <w:szCs w:val="18"/>
              </w:rPr>
              <w:t>+</w:t>
            </w:r>
            <w:r>
              <w:rPr>
                <w:rFonts w:ascii="Arial" w:hAnsi="Arial" w:cs="Arial"/>
                <w:bCs/>
                <w:color w:val="215868" w:themeColor="accent5" w:themeShade="80"/>
                <w:sz w:val="18"/>
                <w:szCs w:val="18"/>
              </w:rPr>
              <w:t>12</w:t>
            </w:r>
            <w:r w:rsidRPr="006620F4">
              <w:rPr>
                <w:rFonts w:ascii="Arial" w:hAnsi="Arial" w:cs="Arial"/>
                <w:bCs/>
                <w:color w:val="215868" w:themeColor="accent5" w:themeShade="80"/>
                <w:sz w:val="18"/>
                <w:szCs w:val="18"/>
              </w:rPr>
              <w:t>%</w:t>
            </w:r>
          </w:p>
        </w:tc>
        <w:tc>
          <w:tcPr>
            <w:tcW w:w="708" w:type="dxa"/>
            <w:vAlign w:val="center"/>
          </w:tcPr>
          <w:p w14:paraId="1840576B" w14:textId="16F19C53" w:rsidR="00201F76" w:rsidRPr="0076155D" w:rsidRDefault="00201F76" w:rsidP="00201F7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6620F4">
              <w:rPr>
                <w:rFonts w:ascii="Arial" w:hAnsi="Arial" w:cs="Arial"/>
                <w:bCs/>
                <w:color w:val="215868" w:themeColor="accent5" w:themeShade="80"/>
                <w:sz w:val="18"/>
                <w:szCs w:val="18"/>
              </w:rPr>
              <w:t>+</w:t>
            </w:r>
            <w:r>
              <w:rPr>
                <w:rFonts w:ascii="Arial" w:hAnsi="Arial" w:cs="Arial"/>
                <w:bCs/>
                <w:color w:val="215868" w:themeColor="accent5" w:themeShade="80"/>
                <w:sz w:val="18"/>
                <w:szCs w:val="18"/>
              </w:rPr>
              <w:t>18</w:t>
            </w:r>
            <w:r w:rsidRPr="006620F4">
              <w:rPr>
                <w:rFonts w:ascii="Arial" w:hAnsi="Arial" w:cs="Arial"/>
                <w:bCs/>
                <w:color w:val="215868" w:themeColor="accent5" w:themeShade="80"/>
                <w:sz w:val="18"/>
                <w:szCs w:val="18"/>
              </w:rPr>
              <w:t>%</w:t>
            </w:r>
          </w:p>
        </w:tc>
        <w:tc>
          <w:tcPr>
            <w:tcW w:w="709" w:type="dxa"/>
            <w:vAlign w:val="center"/>
          </w:tcPr>
          <w:p w14:paraId="0409D17D" w14:textId="1717D469" w:rsidR="00201F76" w:rsidRPr="00C84F6D" w:rsidRDefault="00C632A8" w:rsidP="0036550E">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+4</w:t>
            </w:r>
            <w:r w:rsidR="0036550E">
              <w:rPr>
                <w:rFonts w:ascii="Arial" w:hAnsi="Arial" w:cs="Arial"/>
                <w:bCs/>
                <w:color w:val="215868" w:themeColor="accent5" w:themeShade="80"/>
                <w:sz w:val="18"/>
                <w:szCs w:val="18"/>
              </w:rPr>
              <w:t>%</w:t>
            </w:r>
          </w:p>
        </w:tc>
        <w:tc>
          <w:tcPr>
            <w:tcW w:w="830" w:type="dxa"/>
            <w:vAlign w:val="center"/>
          </w:tcPr>
          <w:p w14:paraId="776666A1" w14:textId="3D77B324" w:rsidR="00201F76" w:rsidRPr="0076155D" w:rsidRDefault="00201F76" w:rsidP="0036550E">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516</w:t>
            </w:r>
            <w:r>
              <w:rPr>
                <w:rFonts w:ascii="Arial" w:hAnsi="Arial" w:cs="Arial"/>
                <w:bCs/>
                <w:color w:val="215868" w:themeColor="accent5" w:themeShade="80"/>
                <w:sz w:val="18"/>
                <w:szCs w:val="18"/>
              </w:rPr>
              <w:t>M</w:t>
            </w:r>
          </w:p>
        </w:tc>
        <w:tc>
          <w:tcPr>
            <w:tcW w:w="810" w:type="dxa"/>
            <w:vAlign w:val="center"/>
          </w:tcPr>
          <w:p w14:paraId="2E7C289F" w14:textId="26F6512A" w:rsidR="00201F76" w:rsidRDefault="00201F76" w:rsidP="00736BE7">
            <w:pPr>
              <w:jc w:val="right"/>
              <w:cnfStyle w:val="000000000000" w:firstRow="0" w:lastRow="0" w:firstColumn="0" w:lastColumn="0" w:oddVBand="0" w:evenVBand="0" w:oddHBand="0" w:evenHBand="0" w:firstRowFirstColumn="0" w:firstRowLastColumn="0" w:lastRowFirstColumn="0" w:lastRowLastColumn="0"/>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14</w:t>
            </w:r>
            <w:r w:rsidRPr="00C84F6D">
              <w:rPr>
                <w:rFonts w:ascii="Arial" w:hAnsi="Arial" w:cs="Arial"/>
                <w:bCs/>
                <w:color w:val="215868" w:themeColor="accent5" w:themeShade="80"/>
                <w:sz w:val="18"/>
                <w:szCs w:val="18"/>
              </w:rPr>
              <w:t>%</w:t>
            </w:r>
          </w:p>
        </w:tc>
        <w:tc>
          <w:tcPr>
            <w:tcW w:w="770" w:type="dxa"/>
            <w:vAlign w:val="center"/>
          </w:tcPr>
          <w:p w14:paraId="6C2F3898" w14:textId="5B4E291F" w:rsidR="00201F76" w:rsidRDefault="00201F76" w:rsidP="00736BE7">
            <w:pPr>
              <w:jc w:val="right"/>
              <w:cnfStyle w:val="000000000000" w:firstRow="0" w:lastRow="0" w:firstColumn="0" w:lastColumn="0" w:oddVBand="0" w:evenVBand="0" w:oddHBand="0" w:evenHBand="0" w:firstRowFirstColumn="0" w:firstRowLastColumn="0" w:lastRowFirstColumn="0" w:lastRowLastColumn="0"/>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8.0</w:t>
            </w:r>
            <w:r w:rsidRPr="00C84F6D">
              <w:rPr>
                <w:rFonts w:ascii="Arial" w:hAnsi="Arial" w:cs="Arial"/>
                <w:bCs/>
                <w:color w:val="215868" w:themeColor="accent5" w:themeShade="80"/>
                <w:sz w:val="18"/>
                <w:szCs w:val="18"/>
              </w:rPr>
              <w:t>%</w:t>
            </w:r>
          </w:p>
        </w:tc>
      </w:tr>
      <w:tr w:rsidR="0036550E" w14:paraId="66E76913" w14:textId="77777777" w:rsidTr="00C632A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59DEA01A" w14:textId="77777777" w:rsidR="00201F76" w:rsidRPr="0076155D" w:rsidRDefault="00201F76" w:rsidP="00C84F6D">
            <w:pPr>
              <w:rPr>
                <w:rFonts w:ascii="Arial" w:hAnsi="Arial" w:cs="Arial"/>
                <w:b w:val="0"/>
                <w:color w:val="215868" w:themeColor="accent5" w:themeShade="80"/>
                <w:sz w:val="18"/>
                <w:szCs w:val="18"/>
              </w:rPr>
            </w:pPr>
            <w:r w:rsidRPr="0076155D">
              <w:rPr>
                <w:rFonts w:ascii="Arial" w:hAnsi="Arial" w:cs="Arial"/>
                <w:b w:val="0"/>
                <w:color w:val="215868" w:themeColor="accent5" w:themeShade="80"/>
                <w:sz w:val="18"/>
                <w:szCs w:val="18"/>
              </w:rPr>
              <w:t>Bacon</w:t>
            </w:r>
          </w:p>
        </w:tc>
        <w:tc>
          <w:tcPr>
            <w:tcW w:w="700" w:type="dxa"/>
            <w:vAlign w:val="center"/>
          </w:tcPr>
          <w:p w14:paraId="4CB0E49B" w14:textId="4B59C9A0" w:rsidR="00201F76" w:rsidRDefault="00201F76" w:rsidP="00C84F6D">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rPr>
              <w:t>+3</w:t>
            </w:r>
            <w:r w:rsidRPr="00FA4781">
              <w:rPr>
                <w:rFonts w:ascii="Arial" w:hAnsi="Arial" w:cs="Arial"/>
                <w:color w:val="215868" w:themeColor="accent5" w:themeShade="80"/>
                <w:sz w:val="18"/>
              </w:rPr>
              <w:t>%</w:t>
            </w:r>
          </w:p>
        </w:tc>
        <w:tc>
          <w:tcPr>
            <w:tcW w:w="709" w:type="dxa"/>
            <w:vAlign w:val="center"/>
          </w:tcPr>
          <w:p w14:paraId="393EDC03" w14:textId="01005710" w:rsidR="00201F76" w:rsidRDefault="00201F76" w:rsidP="00C84F6D">
            <w:pPr>
              <w:jc w:val="right"/>
              <w:cnfStyle w:val="000000100000" w:firstRow="0" w:lastRow="0" w:firstColumn="0" w:lastColumn="0" w:oddVBand="0" w:evenVBand="0" w:oddHBand="1" w:evenHBand="0" w:firstRowFirstColumn="0" w:firstRowLastColumn="0" w:lastRowFirstColumn="0" w:lastRowLastColumn="0"/>
            </w:pPr>
            <w:r w:rsidRPr="004258EB">
              <w:rPr>
                <w:rFonts w:ascii="Arial" w:hAnsi="Arial" w:cs="Arial"/>
                <w:color w:val="215868" w:themeColor="accent5" w:themeShade="80"/>
                <w:sz w:val="18"/>
              </w:rPr>
              <w:t>+</w:t>
            </w:r>
            <w:r>
              <w:rPr>
                <w:rFonts w:ascii="Arial" w:hAnsi="Arial" w:cs="Arial"/>
                <w:color w:val="215868" w:themeColor="accent5" w:themeShade="80"/>
                <w:sz w:val="18"/>
              </w:rPr>
              <w:t>21</w:t>
            </w:r>
            <w:r w:rsidRPr="004258EB">
              <w:rPr>
                <w:rFonts w:ascii="Arial" w:hAnsi="Arial" w:cs="Arial"/>
                <w:color w:val="215868" w:themeColor="accent5" w:themeShade="80"/>
                <w:sz w:val="18"/>
              </w:rPr>
              <w:t>%</w:t>
            </w:r>
          </w:p>
        </w:tc>
        <w:tc>
          <w:tcPr>
            <w:tcW w:w="709" w:type="dxa"/>
            <w:vAlign w:val="center"/>
          </w:tcPr>
          <w:p w14:paraId="3B8B206E" w14:textId="5C43FC35" w:rsidR="00201F76" w:rsidRPr="0076155D" w:rsidRDefault="00201F76" w:rsidP="00C84F6D">
            <w:pPr>
              <w:jc w:val="right"/>
              <w:cnfStyle w:val="000000100000" w:firstRow="0" w:lastRow="0" w:firstColumn="0" w:lastColumn="0" w:oddVBand="0" w:evenVBand="0" w:oddHBand="1" w:evenHBand="0" w:firstRowFirstColumn="0" w:firstRowLastColumn="0" w:lastRowFirstColumn="0" w:lastRowLastColumn="0"/>
              <w:rPr>
                <w:color w:val="215868" w:themeColor="accent5" w:themeShade="80"/>
              </w:rPr>
            </w:pPr>
            <w:r>
              <w:rPr>
                <w:rFonts w:ascii="Arial" w:hAnsi="Arial" w:cs="Arial"/>
                <w:color w:val="215868" w:themeColor="accent5" w:themeShade="80"/>
                <w:sz w:val="18"/>
                <w:szCs w:val="18"/>
              </w:rPr>
              <w:t>+8</w:t>
            </w:r>
            <w:r w:rsidRPr="0076155D">
              <w:rPr>
                <w:rFonts w:ascii="Arial" w:hAnsi="Arial" w:cs="Arial"/>
                <w:color w:val="215868" w:themeColor="accent5" w:themeShade="80"/>
                <w:sz w:val="18"/>
                <w:szCs w:val="18"/>
              </w:rPr>
              <w:t>%</w:t>
            </w:r>
          </w:p>
        </w:tc>
        <w:tc>
          <w:tcPr>
            <w:tcW w:w="708" w:type="dxa"/>
            <w:vAlign w:val="center"/>
          </w:tcPr>
          <w:p w14:paraId="6367DE6C" w14:textId="457A2AEF" w:rsidR="00201F76" w:rsidRPr="0076155D" w:rsidRDefault="00201F76" w:rsidP="00C84F6D">
            <w:pPr>
              <w:jc w:val="right"/>
              <w:cnfStyle w:val="000000100000" w:firstRow="0" w:lastRow="0" w:firstColumn="0" w:lastColumn="0" w:oddVBand="0" w:evenVBand="0" w:oddHBand="1" w:evenHBand="0" w:firstRowFirstColumn="0" w:firstRowLastColumn="0" w:lastRowFirstColumn="0" w:lastRowLastColumn="0"/>
              <w:rPr>
                <w:color w:val="215868" w:themeColor="accent5" w:themeShade="80"/>
              </w:rPr>
            </w:pPr>
            <w:r>
              <w:rPr>
                <w:rFonts w:ascii="Arial" w:hAnsi="Arial" w:cs="Arial"/>
                <w:bCs/>
                <w:color w:val="215868" w:themeColor="accent5" w:themeShade="80"/>
                <w:sz w:val="18"/>
                <w:szCs w:val="18"/>
              </w:rPr>
              <w:t>-9</w:t>
            </w:r>
            <w:r w:rsidRPr="0076155D">
              <w:rPr>
                <w:rFonts w:ascii="Arial" w:hAnsi="Arial" w:cs="Arial"/>
                <w:bCs/>
                <w:color w:val="215868" w:themeColor="accent5" w:themeShade="80"/>
                <w:sz w:val="18"/>
                <w:szCs w:val="18"/>
              </w:rPr>
              <w:t>%</w:t>
            </w:r>
          </w:p>
        </w:tc>
        <w:tc>
          <w:tcPr>
            <w:tcW w:w="709" w:type="dxa"/>
            <w:vAlign w:val="center"/>
          </w:tcPr>
          <w:p w14:paraId="22CCB37F" w14:textId="4AA5FEB6" w:rsidR="00201F76" w:rsidRPr="0076155D" w:rsidRDefault="00201F76"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+5%</w:t>
            </w:r>
          </w:p>
        </w:tc>
        <w:tc>
          <w:tcPr>
            <w:tcW w:w="709" w:type="dxa"/>
            <w:vAlign w:val="center"/>
          </w:tcPr>
          <w:p w14:paraId="220ED5F2" w14:textId="3FC4200F" w:rsidR="00201F76" w:rsidRPr="0076155D" w:rsidRDefault="00201F76"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+8%</w:t>
            </w:r>
          </w:p>
        </w:tc>
        <w:tc>
          <w:tcPr>
            <w:tcW w:w="709" w:type="dxa"/>
            <w:vAlign w:val="center"/>
          </w:tcPr>
          <w:p w14:paraId="7D2BB4D0" w14:textId="55A56970" w:rsidR="00201F76" w:rsidRPr="0076155D" w:rsidRDefault="00201F76"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+5%</w:t>
            </w:r>
          </w:p>
        </w:tc>
        <w:tc>
          <w:tcPr>
            <w:tcW w:w="708" w:type="dxa"/>
            <w:vAlign w:val="center"/>
          </w:tcPr>
          <w:p w14:paraId="3CF53EC8" w14:textId="7151A845" w:rsidR="00201F76" w:rsidRPr="0076155D" w:rsidRDefault="00201F76"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+3%</w:t>
            </w:r>
          </w:p>
        </w:tc>
        <w:tc>
          <w:tcPr>
            <w:tcW w:w="709" w:type="dxa"/>
            <w:vAlign w:val="center"/>
          </w:tcPr>
          <w:p w14:paraId="79350D8A" w14:textId="1614BF6E" w:rsidR="00201F76" w:rsidRPr="00C84F6D" w:rsidRDefault="00C632A8" w:rsidP="0036550E">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+5</w:t>
            </w:r>
            <w:r w:rsidR="0036550E">
              <w:rPr>
                <w:rFonts w:ascii="Arial" w:hAnsi="Arial" w:cs="Arial"/>
                <w:bCs/>
                <w:color w:val="215868" w:themeColor="accent5" w:themeShade="80"/>
                <w:sz w:val="18"/>
                <w:szCs w:val="18"/>
              </w:rPr>
              <w:t>%</w:t>
            </w:r>
          </w:p>
        </w:tc>
        <w:tc>
          <w:tcPr>
            <w:tcW w:w="830" w:type="dxa"/>
            <w:vAlign w:val="center"/>
          </w:tcPr>
          <w:p w14:paraId="2E327158" w14:textId="67B36937" w:rsidR="00201F76" w:rsidRPr="0076155D" w:rsidRDefault="00201F76" w:rsidP="0036550E">
            <w:pPr>
              <w:jc w:val="right"/>
              <w:cnfStyle w:val="000000100000" w:firstRow="0" w:lastRow="0" w:firstColumn="0" w:lastColumn="0" w:oddVBand="0" w:evenVBand="0" w:oddHBand="1" w:evenHBand="0" w:firstRowFirstColumn="0" w:firstRowLastColumn="0" w:lastRowFirstColumn="0" w:lastRowLastColumn="0"/>
              <w:rPr>
                <w:color w:val="215868" w:themeColor="accent5" w:themeShade="80"/>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474</w:t>
            </w:r>
            <w:r>
              <w:rPr>
                <w:rFonts w:ascii="Arial" w:hAnsi="Arial" w:cs="Arial"/>
                <w:bCs/>
                <w:color w:val="215868" w:themeColor="accent5" w:themeShade="80"/>
                <w:sz w:val="18"/>
                <w:szCs w:val="18"/>
              </w:rPr>
              <w:t>M</w:t>
            </w:r>
          </w:p>
        </w:tc>
        <w:tc>
          <w:tcPr>
            <w:tcW w:w="810" w:type="dxa"/>
            <w:vAlign w:val="center"/>
          </w:tcPr>
          <w:p w14:paraId="6032FAEF" w14:textId="6DDD6BE3" w:rsidR="00201F76" w:rsidRDefault="00201F76" w:rsidP="00C84F6D">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2.2</w:t>
            </w:r>
            <w:r w:rsidRPr="00C84F6D">
              <w:rPr>
                <w:rFonts w:ascii="Arial" w:hAnsi="Arial" w:cs="Arial"/>
                <w:bCs/>
                <w:color w:val="215868" w:themeColor="accent5" w:themeShade="80"/>
                <w:sz w:val="18"/>
                <w:szCs w:val="18"/>
              </w:rPr>
              <w:t>%</w:t>
            </w:r>
          </w:p>
        </w:tc>
        <w:tc>
          <w:tcPr>
            <w:tcW w:w="770" w:type="dxa"/>
            <w:vAlign w:val="center"/>
          </w:tcPr>
          <w:p w14:paraId="1ED184FC" w14:textId="1A27EFA2" w:rsidR="00201F76" w:rsidRDefault="00201F76" w:rsidP="00C84F6D">
            <w:pPr>
              <w:jc w:val="right"/>
              <w:cnfStyle w:val="000000100000" w:firstRow="0" w:lastRow="0" w:firstColumn="0" w:lastColumn="0" w:oddVBand="0" w:evenVBand="0" w:oddHBand="1" w:evenHBand="0" w:firstRowFirstColumn="0" w:firstRowLastColumn="0" w:lastRowFirstColumn="0" w:lastRowLastColumn="0"/>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1.5</w:t>
            </w:r>
            <w:r w:rsidRPr="00C84F6D">
              <w:rPr>
                <w:rFonts w:ascii="Arial" w:hAnsi="Arial" w:cs="Arial"/>
                <w:bCs/>
                <w:color w:val="215868" w:themeColor="accent5" w:themeShade="80"/>
                <w:sz w:val="18"/>
                <w:szCs w:val="18"/>
              </w:rPr>
              <w:t>%</w:t>
            </w:r>
          </w:p>
        </w:tc>
      </w:tr>
      <w:tr w:rsidR="0036550E" w14:paraId="0B1F4320" w14:textId="77777777" w:rsidTr="00C632A8">
        <w:trPr>
          <w:trHeight w:val="264"/>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23813A31" w14:textId="77777777" w:rsidR="00201F76" w:rsidRPr="0076155D" w:rsidRDefault="00201F76" w:rsidP="00C84F6D">
            <w:pPr>
              <w:rPr>
                <w:rFonts w:ascii="Arial" w:hAnsi="Arial" w:cs="Arial"/>
                <w:b w:val="0"/>
                <w:color w:val="215868" w:themeColor="accent5" w:themeShade="80"/>
                <w:sz w:val="18"/>
                <w:szCs w:val="18"/>
              </w:rPr>
            </w:pPr>
            <w:r w:rsidRPr="0076155D">
              <w:rPr>
                <w:rFonts w:ascii="Arial" w:hAnsi="Arial" w:cs="Arial"/>
                <w:b w:val="0"/>
                <w:color w:val="215868" w:themeColor="accent5" w:themeShade="80"/>
                <w:sz w:val="18"/>
                <w:szCs w:val="18"/>
              </w:rPr>
              <w:t>Dinner sausage</w:t>
            </w:r>
          </w:p>
        </w:tc>
        <w:tc>
          <w:tcPr>
            <w:tcW w:w="700" w:type="dxa"/>
            <w:vAlign w:val="center"/>
          </w:tcPr>
          <w:p w14:paraId="2FA22179" w14:textId="5202D5D5" w:rsidR="00201F76" w:rsidRDefault="00201F76" w:rsidP="00C84F6D">
            <w:pPr>
              <w:jc w:val="right"/>
              <w:cnfStyle w:val="000000000000" w:firstRow="0" w:lastRow="0" w:firstColumn="0" w:lastColumn="0" w:oddVBand="0" w:evenVBand="0" w:oddHBand="0" w:evenHBand="0" w:firstRowFirstColumn="0" w:firstRowLastColumn="0" w:lastRowFirstColumn="0" w:lastRowLastColumn="0"/>
            </w:pPr>
            <w:r w:rsidRPr="00E277B8">
              <w:rPr>
                <w:rFonts w:ascii="Arial" w:hAnsi="Arial" w:cs="Arial"/>
                <w:color w:val="215868" w:themeColor="accent5" w:themeShade="80"/>
                <w:sz w:val="18"/>
              </w:rPr>
              <w:t>+</w:t>
            </w:r>
            <w:r>
              <w:rPr>
                <w:rFonts w:ascii="Arial" w:hAnsi="Arial" w:cs="Arial"/>
                <w:color w:val="215868" w:themeColor="accent5" w:themeShade="80"/>
                <w:sz w:val="18"/>
              </w:rPr>
              <w:t>3</w:t>
            </w:r>
            <w:r w:rsidRPr="00E277B8">
              <w:rPr>
                <w:rFonts w:ascii="Arial" w:hAnsi="Arial" w:cs="Arial"/>
                <w:color w:val="215868" w:themeColor="accent5" w:themeShade="80"/>
                <w:sz w:val="18"/>
              </w:rPr>
              <w:t>%</w:t>
            </w:r>
          </w:p>
        </w:tc>
        <w:tc>
          <w:tcPr>
            <w:tcW w:w="709" w:type="dxa"/>
            <w:vAlign w:val="center"/>
          </w:tcPr>
          <w:p w14:paraId="79EAF738" w14:textId="21365C22" w:rsidR="00201F76" w:rsidRDefault="00201F76" w:rsidP="00201F76">
            <w:pPr>
              <w:jc w:val="right"/>
              <w:cnfStyle w:val="000000000000" w:firstRow="0" w:lastRow="0" w:firstColumn="0" w:lastColumn="0" w:oddVBand="0" w:evenVBand="0" w:oddHBand="0" w:evenHBand="0" w:firstRowFirstColumn="0" w:firstRowLastColumn="0" w:lastRowFirstColumn="0" w:lastRowLastColumn="0"/>
            </w:pPr>
            <w:r w:rsidRPr="004258EB">
              <w:rPr>
                <w:rFonts w:ascii="Arial" w:hAnsi="Arial" w:cs="Arial"/>
                <w:color w:val="215868" w:themeColor="accent5" w:themeShade="80"/>
                <w:sz w:val="18"/>
              </w:rPr>
              <w:t>+</w:t>
            </w:r>
            <w:r>
              <w:rPr>
                <w:rFonts w:ascii="Arial" w:hAnsi="Arial" w:cs="Arial"/>
                <w:color w:val="215868" w:themeColor="accent5" w:themeShade="80"/>
                <w:sz w:val="18"/>
              </w:rPr>
              <w:t>21</w:t>
            </w:r>
            <w:r w:rsidRPr="004258EB">
              <w:rPr>
                <w:rFonts w:ascii="Arial" w:hAnsi="Arial" w:cs="Arial"/>
                <w:color w:val="215868" w:themeColor="accent5" w:themeShade="80"/>
                <w:sz w:val="18"/>
              </w:rPr>
              <w:t>%</w:t>
            </w:r>
          </w:p>
        </w:tc>
        <w:tc>
          <w:tcPr>
            <w:tcW w:w="709" w:type="dxa"/>
            <w:vAlign w:val="center"/>
          </w:tcPr>
          <w:p w14:paraId="461B1E7F" w14:textId="36BC4EA1" w:rsidR="00201F76" w:rsidRPr="0076155D" w:rsidRDefault="00201F76" w:rsidP="00C84F6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-3</w:t>
            </w:r>
            <w:r w:rsidRPr="0076155D">
              <w:rPr>
                <w:rFonts w:ascii="Arial" w:hAnsi="Arial" w:cs="Arial"/>
                <w:color w:val="215868" w:themeColor="accent5" w:themeShade="80"/>
                <w:sz w:val="18"/>
                <w:szCs w:val="18"/>
              </w:rPr>
              <w:t>%</w:t>
            </w:r>
          </w:p>
        </w:tc>
        <w:tc>
          <w:tcPr>
            <w:tcW w:w="708" w:type="dxa"/>
            <w:vAlign w:val="center"/>
          </w:tcPr>
          <w:p w14:paraId="196DD16B" w14:textId="1EE7051A" w:rsidR="00201F76" w:rsidRPr="0076155D" w:rsidRDefault="00201F76" w:rsidP="00C84F6D">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Pr>
                <w:rFonts w:ascii="Arial" w:hAnsi="Arial" w:cs="Arial"/>
                <w:bCs/>
                <w:color w:val="215868" w:themeColor="accent5" w:themeShade="80"/>
                <w:sz w:val="18"/>
                <w:szCs w:val="18"/>
              </w:rPr>
              <w:t>-13</w:t>
            </w:r>
            <w:r w:rsidRPr="0076155D">
              <w:rPr>
                <w:rFonts w:ascii="Arial" w:hAnsi="Arial" w:cs="Arial"/>
                <w:bCs/>
                <w:color w:val="215868" w:themeColor="accent5" w:themeShade="80"/>
                <w:sz w:val="18"/>
                <w:szCs w:val="18"/>
              </w:rPr>
              <w:t>%</w:t>
            </w:r>
          </w:p>
        </w:tc>
        <w:tc>
          <w:tcPr>
            <w:tcW w:w="709" w:type="dxa"/>
            <w:vAlign w:val="center"/>
          </w:tcPr>
          <w:p w14:paraId="2507C333" w14:textId="787697B9" w:rsidR="00201F76" w:rsidRPr="0076155D" w:rsidRDefault="00201F76" w:rsidP="00C84F6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w:t>
            </w:r>
            <w:r w:rsidRPr="00757AD5">
              <w:rPr>
                <w:rFonts w:ascii="Arial" w:hAnsi="Arial" w:cs="Arial"/>
                <w:bCs/>
                <w:color w:val="215868" w:themeColor="accent5" w:themeShade="80"/>
                <w:sz w:val="18"/>
                <w:szCs w:val="18"/>
              </w:rPr>
              <w:t>%</w:t>
            </w:r>
          </w:p>
        </w:tc>
        <w:tc>
          <w:tcPr>
            <w:tcW w:w="709" w:type="dxa"/>
            <w:vAlign w:val="center"/>
          </w:tcPr>
          <w:p w14:paraId="35D84063" w14:textId="25AA6097" w:rsidR="00201F76" w:rsidRPr="0076155D" w:rsidRDefault="00201F76" w:rsidP="00C84F6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+6%</w:t>
            </w:r>
          </w:p>
        </w:tc>
        <w:tc>
          <w:tcPr>
            <w:tcW w:w="709" w:type="dxa"/>
            <w:vAlign w:val="center"/>
          </w:tcPr>
          <w:p w14:paraId="4E3DB7AA" w14:textId="0ABADF25" w:rsidR="00201F76" w:rsidRPr="0076155D" w:rsidRDefault="00201F76" w:rsidP="00C84F6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6620F4">
              <w:rPr>
                <w:rFonts w:ascii="Arial" w:hAnsi="Arial" w:cs="Arial"/>
                <w:bCs/>
                <w:color w:val="215868" w:themeColor="accent5" w:themeShade="80"/>
                <w:sz w:val="18"/>
                <w:szCs w:val="18"/>
              </w:rPr>
              <w:t>+</w:t>
            </w:r>
            <w:r>
              <w:rPr>
                <w:rFonts w:ascii="Arial" w:hAnsi="Arial" w:cs="Arial"/>
                <w:bCs/>
                <w:color w:val="215868" w:themeColor="accent5" w:themeShade="80"/>
                <w:sz w:val="18"/>
                <w:szCs w:val="18"/>
              </w:rPr>
              <w:t>9</w:t>
            </w:r>
            <w:r w:rsidRPr="006620F4">
              <w:rPr>
                <w:rFonts w:ascii="Arial" w:hAnsi="Arial" w:cs="Arial"/>
                <w:bCs/>
                <w:color w:val="215868" w:themeColor="accent5" w:themeShade="80"/>
                <w:sz w:val="18"/>
                <w:szCs w:val="18"/>
              </w:rPr>
              <w:t>%</w:t>
            </w:r>
          </w:p>
        </w:tc>
        <w:tc>
          <w:tcPr>
            <w:tcW w:w="708" w:type="dxa"/>
            <w:vAlign w:val="center"/>
          </w:tcPr>
          <w:p w14:paraId="5A75AD36" w14:textId="421E62CB" w:rsidR="00201F76" w:rsidRPr="0076155D" w:rsidRDefault="00201F76" w:rsidP="00C84F6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6620F4">
              <w:rPr>
                <w:rFonts w:ascii="Arial" w:hAnsi="Arial" w:cs="Arial"/>
                <w:bCs/>
                <w:color w:val="215868" w:themeColor="accent5" w:themeShade="80"/>
                <w:sz w:val="18"/>
                <w:szCs w:val="18"/>
              </w:rPr>
              <w:t>+</w:t>
            </w:r>
            <w:r>
              <w:rPr>
                <w:rFonts w:ascii="Arial" w:hAnsi="Arial" w:cs="Arial"/>
                <w:bCs/>
                <w:color w:val="215868" w:themeColor="accent5" w:themeShade="80"/>
                <w:sz w:val="18"/>
                <w:szCs w:val="18"/>
              </w:rPr>
              <w:t>7</w:t>
            </w:r>
            <w:r w:rsidRPr="006620F4">
              <w:rPr>
                <w:rFonts w:ascii="Arial" w:hAnsi="Arial" w:cs="Arial"/>
                <w:bCs/>
                <w:color w:val="215868" w:themeColor="accent5" w:themeShade="80"/>
                <w:sz w:val="18"/>
                <w:szCs w:val="18"/>
              </w:rPr>
              <w:t>%</w:t>
            </w:r>
          </w:p>
        </w:tc>
        <w:tc>
          <w:tcPr>
            <w:tcW w:w="709" w:type="dxa"/>
            <w:vAlign w:val="center"/>
          </w:tcPr>
          <w:p w14:paraId="7E3F01DA" w14:textId="4250B6B8" w:rsidR="00201F76" w:rsidRPr="00C84F6D" w:rsidRDefault="00C632A8" w:rsidP="0036550E">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-0.3</w:t>
            </w:r>
            <w:r w:rsidR="0036550E">
              <w:rPr>
                <w:rFonts w:ascii="Arial" w:hAnsi="Arial" w:cs="Arial"/>
                <w:bCs/>
                <w:color w:val="215868" w:themeColor="accent5" w:themeShade="80"/>
                <w:sz w:val="18"/>
                <w:szCs w:val="18"/>
              </w:rPr>
              <w:t>%</w:t>
            </w:r>
          </w:p>
        </w:tc>
        <w:tc>
          <w:tcPr>
            <w:tcW w:w="830" w:type="dxa"/>
            <w:vAlign w:val="center"/>
          </w:tcPr>
          <w:p w14:paraId="442AED08" w14:textId="507591DD" w:rsidR="00201F76" w:rsidRPr="0076155D" w:rsidRDefault="00201F76" w:rsidP="0036550E">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390</w:t>
            </w:r>
            <w:r>
              <w:rPr>
                <w:rFonts w:ascii="Arial" w:hAnsi="Arial" w:cs="Arial"/>
                <w:bCs/>
                <w:color w:val="215868" w:themeColor="accent5" w:themeShade="80"/>
                <w:sz w:val="18"/>
                <w:szCs w:val="18"/>
              </w:rPr>
              <w:t>M</w:t>
            </w:r>
          </w:p>
        </w:tc>
        <w:tc>
          <w:tcPr>
            <w:tcW w:w="810" w:type="dxa"/>
            <w:vAlign w:val="center"/>
          </w:tcPr>
          <w:p w14:paraId="3DD4284B" w14:textId="343F9DE9" w:rsidR="00201F76" w:rsidRDefault="00201F76" w:rsidP="00C84F6D">
            <w:pPr>
              <w:jc w:val="right"/>
              <w:cnfStyle w:val="000000000000" w:firstRow="0" w:lastRow="0" w:firstColumn="0" w:lastColumn="0" w:oddVBand="0" w:evenVBand="0" w:oddHBand="0" w:evenHBand="0" w:firstRowFirstColumn="0" w:firstRowLastColumn="0" w:lastRowFirstColumn="0" w:lastRowLastColumn="0"/>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8.9</w:t>
            </w:r>
            <w:r w:rsidRPr="00C84F6D">
              <w:rPr>
                <w:rFonts w:ascii="Arial" w:hAnsi="Arial" w:cs="Arial"/>
                <w:bCs/>
                <w:color w:val="215868" w:themeColor="accent5" w:themeShade="80"/>
                <w:sz w:val="18"/>
                <w:szCs w:val="18"/>
              </w:rPr>
              <w:t>%</w:t>
            </w:r>
          </w:p>
        </w:tc>
        <w:tc>
          <w:tcPr>
            <w:tcW w:w="770" w:type="dxa"/>
            <w:vAlign w:val="center"/>
          </w:tcPr>
          <w:p w14:paraId="0F1A9DAA" w14:textId="3CB54C6E" w:rsidR="00201F76" w:rsidRDefault="00201F76" w:rsidP="00C84F6D">
            <w:pPr>
              <w:jc w:val="right"/>
              <w:cnfStyle w:val="000000000000" w:firstRow="0" w:lastRow="0" w:firstColumn="0" w:lastColumn="0" w:oddVBand="0" w:evenVBand="0" w:oddHBand="0" w:evenHBand="0" w:firstRowFirstColumn="0" w:firstRowLastColumn="0" w:lastRowFirstColumn="0" w:lastRowLastColumn="0"/>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2.6</w:t>
            </w:r>
            <w:r w:rsidRPr="00C84F6D">
              <w:rPr>
                <w:rFonts w:ascii="Arial" w:hAnsi="Arial" w:cs="Arial"/>
                <w:bCs/>
                <w:color w:val="215868" w:themeColor="accent5" w:themeShade="80"/>
                <w:sz w:val="18"/>
                <w:szCs w:val="18"/>
              </w:rPr>
              <w:t>%</w:t>
            </w:r>
          </w:p>
        </w:tc>
      </w:tr>
      <w:tr w:rsidR="0036550E" w14:paraId="6815CA45" w14:textId="77777777" w:rsidTr="00C632A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1B3DB21D" w14:textId="77777777" w:rsidR="00201F76" w:rsidRPr="0076155D" w:rsidRDefault="00201F76" w:rsidP="00736BE7">
            <w:pPr>
              <w:rPr>
                <w:rFonts w:ascii="Arial" w:hAnsi="Arial" w:cs="Arial"/>
                <w:b w:val="0"/>
                <w:color w:val="215868" w:themeColor="accent5" w:themeShade="80"/>
                <w:sz w:val="18"/>
                <w:szCs w:val="18"/>
              </w:rPr>
            </w:pPr>
            <w:r w:rsidRPr="0076155D">
              <w:rPr>
                <w:rFonts w:ascii="Arial" w:hAnsi="Arial" w:cs="Arial"/>
                <w:b w:val="0"/>
                <w:color w:val="215868" w:themeColor="accent5" w:themeShade="80"/>
                <w:sz w:val="18"/>
                <w:szCs w:val="18"/>
              </w:rPr>
              <w:t>Frankfurters</w:t>
            </w:r>
          </w:p>
        </w:tc>
        <w:tc>
          <w:tcPr>
            <w:tcW w:w="700" w:type="dxa"/>
            <w:vAlign w:val="center"/>
          </w:tcPr>
          <w:p w14:paraId="28E6D149" w14:textId="617B7970" w:rsidR="00201F76" w:rsidRDefault="00201F76" w:rsidP="00736BE7">
            <w:pPr>
              <w:jc w:val="right"/>
              <w:cnfStyle w:val="000000100000" w:firstRow="0" w:lastRow="0" w:firstColumn="0" w:lastColumn="0" w:oddVBand="0" w:evenVBand="0" w:oddHBand="1" w:evenHBand="0" w:firstRowFirstColumn="0" w:firstRowLastColumn="0" w:lastRowFirstColumn="0" w:lastRowLastColumn="0"/>
            </w:pPr>
            <w:r w:rsidRPr="00E277B8">
              <w:rPr>
                <w:rFonts w:ascii="Arial" w:hAnsi="Arial" w:cs="Arial"/>
                <w:color w:val="215868" w:themeColor="accent5" w:themeShade="80"/>
                <w:sz w:val="18"/>
              </w:rPr>
              <w:t>+</w:t>
            </w:r>
            <w:r>
              <w:rPr>
                <w:rFonts w:ascii="Arial" w:hAnsi="Arial" w:cs="Arial"/>
                <w:color w:val="215868" w:themeColor="accent5" w:themeShade="80"/>
                <w:sz w:val="18"/>
              </w:rPr>
              <w:t>0</w:t>
            </w:r>
            <w:r w:rsidRPr="00E277B8">
              <w:rPr>
                <w:rFonts w:ascii="Arial" w:hAnsi="Arial" w:cs="Arial"/>
                <w:color w:val="215868" w:themeColor="accent5" w:themeShade="80"/>
                <w:sz w:val="18"/>
              </w:rPr>
              <w:t>%</w:t>
            </w:r>
          </w:p>
        </w:tc>
        <w:tc>
          <w:tcPr>
            <w:tcW w:w="709" w:type="dxa"/>
            <w:vAlign w:val="center"/>
          </w:tcPr>
          <w:p w14:paraId="39F7B3B0" w14:textId="66186288" w:rsidR="00201F76" w:rsidRDefault="00201F76" w:rsidP="00201F76">
            <w:pPr>
              <w:jc w:val="right"/>
              <w:cnfStyle w:val="000000100000" w:firstRow="0" w:lastRow="0" w:firstColumn="0" w:lastColumn="0" w:oddVBand="0" w:evenVBand="0" w:oddHBand="1" w:evenHBand="0" w:firstRowFirstColumn="0" w:firstRowLastColumn="0" w:lastRowFirstColumn="0" w:lastRowLastColumn="0"/>
            </w:pPr>
            <w:r w:rsidRPr="004258EB">
              <w:rPr>
                <w:rFonts w:ascii="Arial" w:hAnsi="Arial" w:cs="Arial"/>
                <w:color w:val="215868" w:themeColor="accent5" w:themeShade="80"/>
                <w:sz w:val="18"/>
              </w:rPr>
              <w:t>+</w:t>
            </w:r>
            <w:r>
              <w:rPr>
                <w:rFonts w:ascii="Arial" w:hAnsi="Arial" w:cs="Arial"/>
                <w:color w:val="215868" w:themeColor="accent5" w:themeShade="80"/>
                <w:sz w:val="18"/>
              </w:rPr>
              <w:t>20</w:t>
            </w:r>
            <w:r w:rsidRPr="004258EB">
              <w:rPr>
                <w:rFonts w:ascii="Arial" w:hAnsi="Arial" w:cs="Arial"/>
                <w:color w:val="215868" w:themeColor="accent5" w:themeShade="80"/>
                <w:sz w:val="18"/>
              </w:rPr>
              <w:t>%</w:t>
            </w:r>
          </w:p>
        </w:tc>
        <w:tc>
          <w:tcPr>
            <w:tcW w:w="709" w:type="dxa"/>
            <w:vAlign w:val="center"/>
          </w:tcPr>
          <w:p w14:paraId="6EB53C6E" w14:textId="77777777" w:rsidR="00201F76" w:rsidRPr="0076155D" w:rsidRDefault="00201F76" w:rsidP="00736BE7">
            <w:pPr>
              <w:jc w:val="right"/>
              <w:cnfStyle w:val="000000100000" w:firstRow="0" w:lastRow="0" w:firstColumn="0" w:lastColumn="0" w:oddVBand="0" w:evenVBand="0" w:oddHBand="1" w:evenHBand="0" w:firstRowFirstColumn="0" w:firstRowLastColumn="0" w:lastRowFirstColumn="0" w:lastRowLastColumn="0"/>
              <w:rPr>
                <w:color w:val="215868" w:themeColor="accent5" w:themeShade="80"/>
              </w:rPr>
            </w:pPr>
            <w:r>
              <w:rPr>
                <w:rFonts w:ascii="Arial" w:hAnsi="Arial" w:cs="Arial"/>
                <w:color w:val="215868" w:themeColor="accent5" w:themeShade="80"/>
                <w:sz w:val="18"/>
                <w:szCs w:val="18"/>
              </w:rPr>
              <w:t>-9.9</w:t>
            </w:r>
            <w:r w:rsidRPr="0076155D">
              <w:rPr>
                <w:rFonts w:ascii="Arial" w:hAnsi="Arial" w:cs="Arial"/>
                <w:color w:val="215868" w:themeColor="accent5" w:themeShade="80"/>
                <w:sz w:val="18"/>
                <w:szCs w:val="18"/>
              </w:rPr>
              <w:t>%</w:t>
            </w:r>
          </w:p>
        </w:tc>
        <w:tc>
          <w:tcPr>
            <w:tcW w:w="708" w:type="dxa"/>
            <w:vAlign w:val="center"/>
          </w:tcPr>
          <w:p w14:paraId="39DC2B77" w14:textId="497A0269" w:rsidR="00201F76" w:rsidRPr="0076155D" w:rsidRDefault="00201F76" w:rsidP="00736BE7">
            <w:pPr>
              <w:jc w:val="right"/>
              <w:cnfStyle w:val="000000100000" w:firstRow="0" w:lastRow="0" w:firstColumn="0" w:lastColumn="0" w:oddVBand="0" w:evenVBand="0" w:oddHBand="1" w:evenHBand="0" w:firstRowFirstColumn="0" w:firstRowLastColumn="0" w:lastRowFirstColumn="0" w:lastRowLastColumn="0"/>
              <w:rPr>
                <w:color w:val="215868" w:themeColor="accent5" w:themeShade="80"/>
              </w:rPr>
            </w:pPr>
            <w:r>
              <w:rPr>
                <w:rFonts w:ascii="Arial" w:hAnsi="Arial" w:cs="Arial"/>
                <w:bCs/>
                <w:color w:val="215868" w:themeColor="accent5" w:themeShade="80"/>
                <w:sz w:val="18"/>
                <w:szCs w:val="18"/>
              </w:rPr>
              <w:t>-14</w:t>
            </w:r>
            <w:r w:rsidRPr="0076155D">
              <w:rPr>
                <w:rFonts w:ascii="Arial" w:hAnsi="Arial" w:cs="Arial"/>
                <w:bCs/>
                <w:color w:val="215868" w:themeColor="accent5" w:themeShade="80"/>
                <w:sz w:val="18"/>
                <w:szCs w:val="18"/>
              </w:rPr>
              <w:t>%</w:t>
            </w:r>
          </w:p>
        </w:tc>
        <w:tc>
          <w:tcPr>
            <w:tcW w:w="709" w:type="dxa"/>
            <w:vAlign w:val="center"/>
          </w:tcPr>
          <w:p w14:paraId="4E7C5676" w14:textId="75BA1682" w:rsidR="00201F76" w:rsidRDefault="00201F76"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-8</w:t>
            </w:r>
            <w:r w:rsidRPr="00757AD5">
              <w:rPr>
                <w:rFonts w:ascii="Arial" w:hAnsi="Arial" w:cs="Arial"/>
                <w:bCs/>
                <w:color w:val="215868" w:themeColor="accent5" w:themeShade="80"/>
                <w:sz w:val="18"/>
                <w:szCs w:val="18"/>
              </w:rPr>
              <w:t>%</w:t>
            </w:r>
          </w:p>
        </w:tc>
        <w:tc>
          <w:tcPr>
            <w:tcW w:w="709" w:type="dxa"/>
            <w:vAlign w:val="center"/>
          </w:tcPr>
          <w:p w14:paraId="130DCBBB" w14:textId="4BE910D4" w:rsidR="00201F76" w:rsidRDefault="00201F76"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-1%</w:t>
            </w:r>
          </w:p>
        </w:tc>
        <w:tc>
          <w:tcPr>
            <w:tcW w:w="709" w:type="dxa"/>
            <w:vAlign w:val="center"/>
          </w:tcPr>
          <w:p w14:paraId="134D76C4" w14:textId="32A0682E" w:rsidR="00201F76" w:rsidRPr="0076155D" w:rsidRDefault="00201F76"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sidRPr="006620F4">
              <w:rPr>
                <w:rFonts w:ascii="Arial" w:hAnsi="Arial" w:cs="Arial"/>
                <w:bCs/>
                <w:color w:val="215868" w:themeColor="accent5" w:themeShade="80"/>
                <w:sz w:val="18"/>
                <w:szCs w:val="18"/>
              </w:rPr>
              <w:t>+</w:t>
            </w:r>
            <w:r>
              <w:rPr>
                <w:rFonts w:ascii="Arial" w:hAnsi="Arial" w:cs="Arial"/>
                <w:bCs/>
                <w:color w:val="215868" w:themeColor="accent5" w:themeShade="80"/>
                <w:sz w:val="18"/>
                <w:szCs w:val="18"/>
              </w:rPr>
              <w:t>8</w:t>
            </w:r>
            <w:r w:rsidRPr="006620F4">
              <w:rPr>
                <w:rFonts w:ascii="Arial" w:hAnsi="Arial" w:cs="Arial"/>
                <w:bCs/>
                <w:color w:val="215868" w:themeColor="accent5" w:themeShade="80"/>
                <w:sz w:val="18"/>
                <w:szCs w:val="18"/>
              </w:rPr>
              <w:t>%</w:t>
            </w:r>
          </w:p>
        </w:tc>
        <w:tc>
          <w:tcPr>
            <w:tcW w:w="708" w:type="dxa"/>
            <w:vAlign w:val="center"/>
          </w:tcPr>
          <w:p w14:paraId="1DD1E8AA" w14:textId="5BA7ADAB" w:rsidR="00201F76" w:rsidRPr="0076155D" w:rsidRDefault="00201F76" w:rsidP="00201F7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sidRPr="006620F4">
              <w:rPr>
                <w:rFonts w:ascii="Arial" w:hAnsi="Arial" w:cs="Arial"/>
                <w:bCs/>
                <w:color w:val="215868" w:themeColor="accent5" w:themeShade="80"/>
                <w:sz w:val="18"/>
                <w:szCs w:val="18"/>
              </w:rPr>
              <w:t>+</w:t>
            </w:r>
            <w:r>
              <w:rPr>
                <w:rFonts w:ascii="Arial" w:hAnsi="Arial" w:cs="Arial"/>
                <w:bCs/>
                <w:color w:val="215868" w:themeColor="accent5" w:themeShade="80"/>
                <w:sz w:val="18"/>
                <w:szCs w:val="18"/>
              </w:rPr>
              <w:t>14</w:t>
            </w:r>
            <w:r w:rsidRPr="006620F4">
              <w:rPr>
                <w:rFonts w:ascii="Arial" w:hAnsi="Arial" w:cs="Arial"/>
                <w:bCs/>
                <w:color w:val="215868" w:themeColor="accent5" w:themeShade="80"/>
                <w:sz w:val="18"/>
                <w:szCs w:val="18"/>
              </w:rPr>
              <w:t>%</w:t>
            </w:r>
          </w:p>
        </w:tc>
        <w:tc>
          <w:tcPr>
            <w:tcW w:w="709" w:type="dxa"/>
            <w:vAlign w:val="center"/>
          </w:tcPr>
          <w:p w14:paraId="21FCD452" w14:textId="6CA93594" w:rsidR="00201F76" w:rsidRPr="00C84F6D" w:rsidRDefault="00C632A8" w:rsidP="0036550E">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-8</w:t>
            </w:r>
            <w:r w:rsidR="0036550E">
              <w:rPr>
                <w:rFonts w:ascii="Arial" w:hAnsi="Arial" w:cs="Arial"/>
                <w:bCs/>
                <w:color w:val="215868" w:themeColor="accent5" w:themeShade="80"/>
                <w:sz w:val="18"/>
                <w:szCs w:val="18"/>
              </w:rPr>
              <w:t>%</w:t>
            </w:r>
          </w:p>
        </w:tc>
        <w:tc>
          <w:tcPr>
            <w:tcW w:w="830" w:type="dxa"/>
            <w:vAlign w:val="center"/>
          </w:tcPr>
          <w:p w14:paraId="18D782B9" w14:textId="0EC7806B" w:rsidR="00201F76" w:rsidRPr="0076155D" w:rsidRDefault="00201F76" w:rsidP="0036550E">
            <w:pPr>
              <w:jc w:val="right"/>
              <w:cnfStyle w:val="000000100000" w:firstRow="0" w:lastRow="0" w:firstColumn="0" w:lastColumn="0" w:oddVBand="0" w:evenVBand="0" w:oddHBand="1" w:evenHBand="0" w:firstRowFirstColumn="0" w:firstRowLastColumn="0" w:lastRowFirstColumn="0" w:lastRowLastColumn="0"/>
              <w:rPr>
                <w:color w:val="215868" w:themeColor="accent5" w:themeShade="80"/>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230</w:t>
            </w:r>
            <w:r>
              <w:rPr>
                <w:rFonts w:ascii="Arial" w:hAnsi="Arial" w:cs="Arial"/>
                <w:bCs/>
                <w:color w:val="215868" w:themeColor="accent5" w:themeShade="80"/>
                <w:sz w:val="18"/>
                <w:szCs w:val="18"/>
              </w:rPr>
              <w:t>M</w:t>
            </w:r>
          </w:p>
        </w:tc>
        <w:tc>
          <w:tcPr>
            <w:tcW w:w="810" w:type="dxa"/>
            <w:vAlign w:val="center"/>
          </w:tcPr>
          <w:p w14:paraId="1EBEB931" w14:textId="2F3104F7" w:rsidR="00201F76" w:rsidRDefault="00201F76" w:rsidP="00736BE7">
            <w:pPr>
              <w:jc w:val="right"/>
              <w:cnfStyle w:val="000000100000" w:firstRow="0" w:lastRow="0" w:firstColumn="0" w:lastColumn="0" w:oddVBand="0" w:evenVBand="0" w:oddHBand="1" w:evenHBand="0" w:firstRowFirstColumn="0" w:firstRowLastColumn="0" w:lastRowFirstColumn="0" w:lastRowLastColumn="0"/>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14</w:t>
            </w:r>
            <w:r w:rsidRPr="00C84F6D">
              <w:rPr>
                <w:rFonts w:ascii="Arial" w:hAnsi="Arial" w:cs="Arial"/>
                <w:bCs/>
                <w:color w:val="215868" w:themeColor="accent5" w:themeShade="80"/>
                <w:sz w:val="18"/>
                <w:szCs w:val="18"/>
              </w:rPr>
              <w:t>%</w:t>
            </w:r>
          </w:p>
        </w:tc>
        <w:tc>
          <w:tcPr>
            <w:tcW w:w="770" w:type="dxa"/>
            <w:vAlign w:val="center"/>
          </w:tcPr>
          <w:p w14:paraId="15D3594E" w14:textId="5017A9BF" w:rsidR="00201F76" w:rsidRDefault="00201F76" w:rsidP="00736BE7">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3.6</w:t>
            </w:r>
            <w:r w:rsidRPr="00C84F6D">
              <w:rPr>
                <w:rFonts w:ascii="Arial" w:hAnsi="Arial" w:cs="Arial"/>
                <w:bCs/>
                <w:color w:val="215868" w:themeColor="accent5" w:themeShade="80"/>
                <w:sz w:val="18"/>
                <w:szCs w:val="18"/>
              </w:rPr>
              <w:t>%</w:t>
            </w:r>
          </w:p>
        </w:tc>
      </w:tr>
      <w:tr w:rsidR="0036550E" w14:paraId="7043C879" w14:textId="77777777" w:rsidTr="00C632A8">
        <w:trPr>
          <w:trHeight w:val="264"/>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5E6FD02A" w14:textId="77777777" w:rsidR="00201F76" w:rsidRPr="0076155D" w:rsidRDefault="00201F76" w:rsidP="00736BE7">
            <w:pPr>
              <w:rPr>
                <w:rFonts w:ascii="Arial" w:hAnsi="Arial" w:cs="Arial"/>
                <w:b w:val="0"/>
                <w:color w:val="215868" w:themeColor="accent5" w:themeShade="80"/>
                <w:sz w:val="18"/>
                <w:szCs w:val="18"/>
              </w:rPr>
            </w:pPr>
            <w:r w:rsidRPr="0076155D">
              <w:rPr>
                <w:rFonts w:ascii="Arial" w:hAnsi="Arial" w:cs="Arial"/>
                <w:b w:val="0"/>
                <w:color w:val="215868" w:themeColor="accent5" w:themeShade="80"/>
                <w:sz w:val="18"/>
                <w:szCs w:val="18"/>
              </w:rPr>
              <w:t>Breakfast sausage</w:t>
            </w:r>
          </w:p>
        </w:tc>
        <w:tc>
          <w:tcPr>
            <w:tcW w:w="700" w:type="dxa"/>
            <w:vAlign w:val="center"/>
          </w:tcPr>
          <w:p w14:paraId="0291C117" w14:textId="353CAF76" w:rsidR="00201F76" w:rsidRDefault="00201F76" w:rsidP="00736BE7">
            <w:pPr>
              <w:jc w:val="right"/>
              <w:cnfStyle w:val="000000000000" w:firstRow="0" w:lastRow="0" w:firstColumn="0" w:lastColumn="0" w:oddVBand="0" w:evenVBand="0" w:oddHBand="0" w:evenHBand="0" w:firstRowFirstColumn="0" w:firstRowLastColumn="0" w:lastRowFirstColumn="0" w:lastRowLastColumn="0"/>
            </w:pPr>
            <w:r w:rsidRPr="00E277B8">
              <w:rPr>
                <w:rFonts w:ascii="Arial" w:hAnsi="Arial" w:cs="Arial"/>
                <w:color w:val="215868" w:themeColor="accent5" w:themeShade="80"/>
                <w:sz w:val="18"/>
              </w:rPr>
              <w:t>+</w:t>
            </w:r>
            <w:r>
              <w:rPr>
                <w:rFonts w:ascii="Arial" w:hAnsi="Arial" w:cs="Arial"/>
                <w:color w:val="215868" w:themeColor="accent5" w:themeShade="80"/>
                <w:sz w:val="18"/>
              </w:rPr>
              <w:t>2</w:t>
            </w:r>
            <w:r w:rsidRPr="00E277B8">
              <w:rPr>
                <w:rFonts w:ascii="Arial" w:hAnsi="Arial" w:cs="Arial"/>
                <w:color w:val="215868" w:themeColor="accent5" w:themeShade="80"/>
                <w:sz w:val="18"/>
              </w:rPr>
              <w:t>%</w:t>
            </w:r>
          </w:p>
        </w:tc>
        <w:tc>
          <w:tcPr>
            <w:tcW w:w="709" w:type="dxa"/>
            <w:vAlign w:val="center"/>
          </w:tcPr>
          <w:p w14:paraId="2CA93D10" w14:textId="1CB62139" w:rsidR="00201F76" w:rsidRDefault="00201F76" w:rsidP="00201F76">
            <w:pPr>
              <w:jc w:val="right"/>
              <w:cnfStyle w:val="000000000000" w:firstRow="0" w:lastRow="0" w:firstColumn="0" w:lastColumn="0" w:oddVBand="0" w:evenVBand="0" w:oddHBand="0" w:evenHBand="0" w:firstRowFirstColumn="0" w:firstRowLastColumn="0" w:lastRowFirstColumn="0" w:lastRowLastColumn="0"/>
            </w:pPr>
            <w:r w:rsidRPr="004258EB">
              <w:rPr>
                <w:rFonts w:ascii="Arial" w:hAnsi="Arial" w:cs="Arial"/>
                <w:color w:val="215868" w:themeColor="accent5" w:themeShade="80"/>
                <w:sz w:val="18"/>
              </w:rPr>
              <w:t>+</w:t>
            </w:r>
            <w:r>
              <w:rPr>
                <w:rFonts w:ascii="Arial" w:hAnsi="Arial" w:cs="Arial"/>
                <w:color w:val="215868" w:themeColor="accent5" w:themeShade="80"/>
                <w:sz w:val="18"/>
              </w:rPr>
              <w:t>20</w:t>
            </w:r>
            <w:r w:rsidRPr="004258EB">
              <w:rPr>
                <w:rFonts w:ascii="Arial" w:hAnsi="Arial" w:cs="Arial"/>
                <w:color w:val="215868" w:themeColor="accent5" w:themeShade="80"/>
                <w:sz w:val="18"/>
              </w:rPr>
              <w:t>%</w:t>
            </w:r>
          </w:p>
        </w:tc>
        <w:tc>
          <w:tcPr>
            <w:tcW w:w="709" w:type="dxa"/>
            <w:vAlign w:val="center"/>
          </w:tcPr>
          <w:p w14:paraId="73986102" w14:textId="70C7A2FF" w:rsidR="00201F76" w:rsidRPr="0076155D" w:rsidRDefault="00201F76" w:rsidP="00736BE7">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Pr>
                <w:rFonts w:ascii="Arial" w:hAnsi="Arial" w:cs="Arial"/>
                <w:color w:val="215868" w:themeColor="accent5" w:themeShade="80"/>
                <w:sz w:val="18"/>
                <w:szCs w:val="18"/>
              </w:rPr>
              <w:t>+2</w:t>
            </w:r>
            <w:r w:rsidRPr="0076155D">
              <w:rPr>
                <w:rFonts w:ascii="Arial" w:hAnsi="Arial" w:cs="Arial"/>
                <w:color w:val="215868" w:themeColor="accent5" w:themeShade="80"/>
                <w:sz w:val="18"/>
                <w:szCs w:val="18"/>
              </w:rPr>
              <w:t>%</w:t>
            </w:r>
          </w:p>
        </w:tc>
        <w:tc>
          <w:tcPr>
            <w:tcW w:w="708" w:type="dxa"/>
            <w:vAlign w:val="center"/>
          </w:tcPr>
          <w:p w14:paraId="37CE8489" w14:textId="67B57302" w:rsidR="00201F76" w:rsidRPr="0076155D" w:rsidRDefault="00201F76" w:rsidP="00736BE7">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Pr>
                <w:rFonts w:ascii="Arial" w:hAnsi="Arial" w:cs="Arial"/>
                <w:bCs/>
                <w:color w:val="215868" w:themeColor="accent5" w:themeShade="80"/>
                <w:sz w:val="18"/>
                <w:szCs w:val="18"/>
              </w:rPr>
              <w:t>-15</w:t>
            </w:r>
            <w:r w:rsidRPr="0076155D">
              <w:rPr>
                <w:rFonts w:ascii="Arial" w:hAnsi="Arial" w:cs="Arial"/>
                <w:bCs/>
                <w:color w:val="215868" w:themeColor="accent5" w:themeShade="80"/>
                <w:sz w:val="18"/>
                <w:szCs w:val="18"/>
              </w:rPr>
              <w:t>%</w:t>
            </w:r>
          </w:p>
        </w:tc>
        <w:tc>
          <w:tcPr>
            <w:tcW w:w="709" w:type="dxa"/>
            <w:vAlign w:val="center"/>
          </w:tcPr>
          <w:p w14:paraId="08BF4A86" w14:textId="6550B426" w:rsidR="00201F76" w:rsidRPr="0076155D" w:rsidRDefault="00201F76"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757AD5">
              <w:rPr>
                <w:rFonts w:ascii="Arial" w:hAnsi="Arial" w:cs="Arial"/>
                <w:bCs/>
                <w:color w:val="215868" w:themeColor="accent5" w:themeShade="80"/>
                <w:sz w:val="18"/>
                <w:szCs w:val="18"/>
              </w:rPr>
              <w:t>+</w:t>
            </w:r>
            <w:r>
              <w:rPr>
                <w:rFonts w:ascii="Arial" w:hAnsi="Arial" w:cs="Arial"/>
                <w:bCs/>
                <w:color w:val="215868" w:themeColor="accent5" w:themeShade="80"/>
                <w:sz w:val="18"/>
                <w:szCs w:val="18"/>
              </w:rPr>
              <w:t>1</w:t>
            </w:r>
            <w:r w:rsidRPr="00757AD5">
              <w:rPr>
                <w:rFonts w:ascii="Arial" w:hAnsi="Arial" w:cs="Arial"/>
                <w:bCs/>
                <w:color w:val="215868" w:themeColor="accent5" w:themeShade="80"/>
                <w:sz w:val="18"/>
                <w:szCs w:val="18"/>
              </w:rPr>
              <w:t>%</w:t>
            </w:r>
          </w:p>
        </w:tc>
        <w:tc>
          <w:tcPr>
            <w:tcW w:w="709" w:type="dxa"/>
            <w:vAlign w:val="center"/>
          </w:tcPr>
          <w:p w14:paraId="2D9AA67C" w14:textId="557D2B9D" w:rsidR="00201F76" w:rsidRPr="0076155D" w:rsidRDefault="00201F76"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+2%</w:t>
            </w:r>
          </w:p>
        </w:tc>
        <w:tc>
          <w:tcPr>
            <w:tcW w:w="709" w:type="dxa"/>
            <w:vAlign w:val="center"/>
          </w:tcPr>
          <w:p w14:paraId="20F1B88B" w14:textId="70DE12AD" w:rsidR="00201F76" w:rsidRPr="0076155D" w:rsidRDefault="00201F76"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6620F4">
              <w:rPr>
                <w:rFonts w:ascii="Arial" w:hAnsi="Arial" w:cs="Arial"/>
                <w:bCs/>
                <w:color w:val="215868" w:themeColor="accent5" w:themeShade="80"/>
                <w:sz w:val="18"/>
                <w:szCs w:val="18"/>
              </w:rPr>
              <w:t>+</w:t>
            </w:r>
            <w:r>
              <w:rPr>
                <w:rFonts w:ascii="Arial" w:hAnsi="Arial" w:cs="Arial"/>
                <w:bCs/>
                <w:color w:val="215868" w:themeColor="accent5" w:themeShade="80"/>
                <w:sz w:val="18"/>
                <w:szCs w:val="18"/>
              </w:rPr>
              <w:t>8</w:t>
            </w:r>
            <w:r w:rsidRPr="006620F4">
              <w:rPr>
                <w:rFonts w:ascii="Arial" w:hAnsi="Arial" w:cs="Arial"/>
                <w:bCs/>
                <w:color w:val="215868" w:themeColor="accent5" w:themeShade="80"/>
                <w:sz w:val="18"/>
                <w:szCs w:val="18"/>
              </w:rPr>
              <w:t>%</w:t>
            </w:r>
          </w:p>
        </w:tc>
        <w:tc>
          <w:tcPr>
            <w:tcW w:w="708" w:type="dxa"/>
            <w:vAlign w:val="center"/>
          </w:tcPr>
          <w:p w14:paraId="744169A2" w14:textId="672F8837" w:rsidR="00201F76" w:rsidRPr="0076155D" w:rsidRDefault="00201F76" w:rsidP="00201F7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6620F4">
              <w:rPr>
                <w:rFonts w:ascii="Arial" w:hAnsi="Arial" w:cs="Arial"/>
                <w:bCs/>
                <w:color w:val="215868" w:themeColor="accent5" w:themeShade="80"/>
                <w:sz w:val="18"/>
                <w:szCs w:val="18"/>
              </w:rPr>
              <w:t>+</w:t>
            </w:r>
            <w:r>
              <w:rPr>
                <w:rFonts w:ascii="Arial" w:hAnsi="Arial" w:cs="Arial"/>
                <w:bCs/>
                <w:color w:val="215868" w:themeColor="accent5" w:themeShade="80"/>
                <w:sz w:val="18"/>
                <w:szCs w:val="18"/>
              </w:rPr>
              <w:t>12</w:t>
            </w:r>
            <w:r w:rsidRPr="006620F4">
              <w:rPr>
                <w:rFonts w:ascii="Arial" w:hAnsi="Arial" w:cs="Arial"/>
                <w:bCs/>
                <w:color w:val="215868" w:themeColor="accent5" w:themeShade="80"/>
                <w:sz w:val="18"/>
                <w:szCs w:val="18"/>
              </w:rPr>
              <w:t>%</w:t>
            </w:r>
          </w:p>
        </w:tc>
        <w:tc>
          <w:tcPr>
            <w:tcW w:w="709" w:type="dxa"/>
            <w:vAlign w:val="center"/>
          </w:tcPr>
          <w:p w14:paraId="2C7D425A" w14:textId="73C8FE1F" w:rsidR="00201F76" w:rsidRPr="00C84F6D" w:rsidRDefault="00C632A8" w:rsidP="0036550E">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+1</w:t>
            </w:r>
            <w:r w:rsidR="0036550E">
              <w:rPr>
                <w:rFonts w:ascii="Arial" w:hAnsi="Arial" w:cs="Arial"/>
                <w:bCs/>
                <w:color w:val="215868" w:themeColor="accent5" w:themeShade="80"/>
                <w:sz w:val="18"/>
                <w:szCs w:val="18"/>
              </w:rPr>
              <w:t>%</w:t>
            </w:r>
          </w:p>
        </w:tc>
        <w:tc>
          <w:tcPr>
            <w:tcW w:w="830" w:type="dxa"/>
            <w:vAlign w:val="center"/>
          </w:tcPr>
          <w:p w14:paraId="0C7E7473" w14:textId="64DA79D2" w:rsidR="00201F76" w:rsidRPr="0076155D" w:rsidRDefault="00201F76" w:rsidP="0036550E">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164</w:t>
            </w:r>
            <w:r>
              <w:rPr>
                <w:rFonts w:ascii="Arial" w:hAnsi="Arial" w:cs="Arial"/>
                <w:bCs/>
                <w:color w:val="215868" w:themeColor="accent5" w:themeShade="80"/>
                <w:sz w:val="18"/>
                <w:szCs w:val="18"/>
              </w:rPr>
              <w:t>M</w:t>
            </w:r>
          </w:p>
        </w:tc>
        <w:tc>
          <w:tcPr>
            <w:tcW w:w="810" w:type="dxa"/>
            <w:vAlign w:val="center"/>
          </w:tcPr>
          <w:p w14:paraId="6A461859" w14:textId="4F1FAAA9" w:rsidR="00201F76" w:rsidRDefault="00201F76" w:rsidP="00736BE7">
            <w:pPr>
              <w:jc w:val="right"/>
              <w:cnfStyle w:val="000000000000" w:firstRow="0" w:lastRow="0" w:firstColumn="0" w:lastColumn="0" w:oddVBand="0" w:evenVBand="0" w:oddHBand="0" w:evenHBand="0" w:firstRowFirstColumn="0" w:firstRowLastColumn="0" w:lastRowFirstColumn="0" w:lastRowLastColumn="0"/>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8.8</w:t>
            </w:r>
            <w:r w:rsidRPr="00C84F6D">
              <w:rPr>
                <w:rFonts w:ascii="Arial" w:hAnsi="Arial" w:cs="Arial"/>
                <w:bCs/>
                <w:color w:val="215868" w:themeColor="accent5" w:themeShade="80"/>
                <w:sz w:val="18"/>
                <w:szCs w:val="18"/>
              </w:rPr>
              <w:t>%</w:t>
            </w:r>
          </w:p>
        </w:tc>
        <w:tc>
          <w:tcPr>
            <w:tcW w:w="770" w:type="dxa"/>
            <w:vAlign w:val="center"/>
          </w:tcPr>
          <w:p w14:paraId="1E20ED7E" w14:textId="44C6DEFD" w:rsidR="00201F76" w:rsidRDefault="00201F76" w:rsidP="00736BE7">
            <w:pPr>
              <w:jc w:val="right"/>
              <w:cnfStyle w:val="000000000000" w:firstRow="0" w:lastRow="0" w:firstColumn="0" w:lastColumn="0" w:oddVBand="0" w:evenVBand="0" w:oddHBand="0" w:evenHBand="0" w:firstRowFirstColumn="0" w:firstRowLastColumn="0" w:lastRowFirstColumn="0" w:lastRowLastColumn="0"/>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5.5</w:t>
            </w:r>
            <w:r w:rsidRPr="00C84F6D">
              <w:rPr>
                <w:rFonts w:ascii="Arial" w:hAnsi="Arial" w:cs="Arial"/>
                <w:bCs/>
                <w:color w:val="215868" w:themeColor="accent5" w:themeShade="80"/>
                <w:sz w:val="18"/>
                <w:szCs w:val="18"/>
              </w:rPr>
              <w:t>%</w:t>
            </w:r>
          </w:p>
        </w:tc>
      </w:tr>
      <w:tr w:rsidR="0036550E" w14:paraId="7696626C" w14:textId="77777777" w:rsidTr="00C632A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21BBF4AE" w14:textId="77777777" w:rsidR="00201F76" w:rsidRPr="0076155D" w:rsidRDefault="00201F76" w:rsidP="00C84F6D">
            <w:pPr>
              <w:rPr>
                <w:rFonts w:ascii="Arial" w:hAnsi="Arial" w:cs="Arial"/>
                <w:b w:val="0"/>
                <w:color w:val="215868" w:themeColor="accent5" w:themeShade="80"/>
                <w:sz w:val="18"/>
                <w:szCs w:val="18"/>
              </w:rPr>
            </w:pPr>
            <w:r w:rsidRPr="0076155D">
              <w:rPr>
                <w:rFonts w:ascii="Arial" w:hAnsi="Arial" w:cs="Arial"/>
                <w:b w:val="0"/>
                <w:color w:val="215868" w:themeColor="accent5" w:themeShade="80"/>
                <w:sz w:val="18"/>
                <w:szCs w:val="18"/>
              </w:rPr>
              <w:t>Smoked ham</w:t>
            </w:r>
          </w:p>
        </w:tc>
        <w:tc>
          <w:tcPr>
            <w:tcW w:w="700" w:type="dxa"/>
            <w:vAlign w:val="center"/>
          </w:tcPr>
          <w:p w14:paraId="42A670E8" w14:textId="376CCD21" w:rsidR="00201F76" w:rsidRDefault="00201F76" w:rsidP="00C84F6D">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rPr>
              <w:t>-1</w:t>
            </w:r>
            <w:r w:rsidRPr="00E277B8">
              <w:rPr>
                <w:rFonts w:ascii="Arial" w:hAnsi="Arial" w:cs="Arial"/>
                <w:color w:val="215868" w:themeColor="accent5" w:themeShade="80"/>
                <w:sz w:val="18"/>
              </w:rPr>
              <w:t>%</w:t>
            </w:r>
          </w:p>
        </w:tc>
        <w:tc>
          <w:tcPr>
            <w:tcW w:w="709" w:type="dxa"/>
            <w:vAlign w:val="center"/>
          </w:tcPr>
          <w:p w14:paraId="064648E1" w14:textId="389BB469" w:rsidR="00201F76" w:rsidRDefault="00201F76" w:rsidP="00201F76">
            <w:pPr>
              <w:jc w:val="right"/>
              <w:cnfStyle w:val="000000100000" w:firstRow="0" w:lastRow="0" w:firstColumn="0" w:lastColumn="0" w:oddVBand="0" w:evenVBand="0" w:oddHBand="1" w:evenHBand="0" w:firstRowFirstColumn="0" w:firstRowLastColumn="0" w:lastRowFirstColumn="0" w:lastRowLastColumn="0"/>
            </w:pPr>
            <w:r w:rsidRPr="004258EB">
              <w:rPr>
                <w:rFonts w:ascii="Arial" w:hAnsi="Arial" w:cs="Arial"/>
                <w:color w:val="215868" w:themeColor="accent5" w:themeShade="80"/>
                <w:sz w:val="18"/>
              </w:rPr>
              <w:t>+</w:t>
            </w:r>
            <w:r>
              <w:rPr>
                <w:rFonts w:ascii="Arial" w:hAnsi="Arial" w:cs="Arial"/>
                <w:color w:val="215868" w:themeColor="accent5" w:themeShade="80"/>
                <w:sz w:val="18"/>
              </w:rPr>
              <w:t>16</w:t>
            </w:r>
            <w:r w:rsidRPr="004258EB">
              <w:rPr>
                <w:rFonts w:ascii="Arial" w:hAnsi="Arial" w:cs="Arial"/>
                <w:color w:val="215868" w:themeColor="accent5" w:themeShade="80"/>
                <w:sz w:val="18"/>
              </w:rPr>
              <w:t>%</w:t>
            </w:r>
          </w:p>
        </w:tc>
        <w:tc>
          <w:tcPr>
            <w:tcW w:w="709" w:type="dxa"/>
            <w:vAlign w:val="center"/>
          </w:tcPr>
          <w:p w14:paraId="516695FC" w14:textId="413DF0C5" w:rsidR="00201F76" w:rsidRPr="0076155D" w:rsidRDefault="00201F76" w:rsidP="00C84F6D">
            <w:pPr>
              <w:jc w:val="right"/>
              <w:cnfStyle w:val="000000100000" w:firstRow="0" w:lastRow="0" w:firstColumn="0" w:lastColumn="0" w:oddVBand="0" w:evenVBand="0" w:oddHBand="1" w:evenHBand="0" w:firstRowFirstColumn="0" w:firstRowLastColumn="0" w:lastRowFirstColumn="0" w:lastRowLastColumn="0"/>
              <w:rPr>
                <w:color w:val="215868" w:themeColor="accent5" w:themeShade="80"/>
              </w:rPr>
            </w:pPr>
            <w:r>
              <w:rPr>
                <w:rFonts w:ascii="Arial" w:hAnsi="Arial" w:cs="Arial"/>
                <w:color w:val="215868" w:themeColor="accent5" w:themeShade="80"/>
                <w:sz w:val="18"/>
                <w:szCs w:val="18"/>
              </w:rPr>
              <w:t>+1</w:t>
            </w:r>
            <w:r w:rsidRPr="0076155D">
              <w:rPr>
                <w:rFonts w:ascii="Arial" w:hAnsi="Arial" w:cs="Arial"/>
                <w:color w:val="215868" w:themeColor="accent5" w:themeShade="80"/>
                <w:sz w:val="18"/>
                <w:szCs w:val="18"/>
              </w:rPr>
              <w:t>%</w:t>
            </w:r>
          </w:p>
        </w:tc>
        <w:tc>
          <w:tcPr>
            <w:tcW w:w="708" w:type="dxa"/>
            <w:vAlign w:val="center"/>
          </w:tcPr>
          <w:p w14:paraId="6794D1DD" w14:textId="6AF5FDC2" w:rsidR="00201F76" w:rsidRPr="0076155D" w:rsidRDefault="00201F76" w:rsidP="00C84F6D">
            <w:pPr>
              <w:jc w:val="right"/>
              <w:cnfStyle w:val="000000100000" w:firstRow="0" w:lastRow="0" w:firstColumn="0" w:lastColumn="0" w:oddVBand="0" w:evenVBand="0" w:oddHBand="1" w:evenHBand="0" w:firstRowFirstColumn="0" w:firstRowLastColumn="0" w:lastRowFirstColumn="0" w:lastRowLastColumn="0"/>
              <w:rPr>
                <w:color w:val="215868" w:themeColor="accent5" w:themeShade="80"/>
              </w:rPr>
            </w:pPr>
            <w:r>
              <w:rPr>
                <w:rFonts w:ascii="Arial" w:hAnsi="Arial" w:cs="Arial"/>
                <w:bCs/>
                <w:color w:val="215868" w:themeColor="accent5" w:themeShade="80"/>
                <w:sz w:val="18"/>
                <w:szCs w:val="18"/>
              </w:rPr>
              <w:t>-23</w:t>
            </w:r>
            <w:r w:rsidRPr="0076155D">
              <w:rPr>
                <w:rFonts w:ascii="Arial" w:hAnsi="Arial" w:cs="Arial"/>
                <w:bCs/>
                <w:color w:val="215868" w:themeColor="accent5" w:themeShade="80"/>
                <w:sz w:val="18"/>
                <w:szCs w:val="18"/>
              </w:rPr>
              <w:t>%</w:t>
            </w:r>
          </w:p>
        </w:tc>
        <w:tc>
          <w:tcPr>
            <w:tcW w:w="709" w:type="dxa"/>
            <w:vAlign w:val="center"/>
          </w:tcPr>
          <w:p w14:paraId="53440C03" w14:textId="305A1698" w:rsidR="00201F76" w:rsidRPr="0076155D" w:rsidRDefault="00201F76"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-3</w:t>
            </w:r>
            <w:r w:rsidRPr="00757AD5">
              <w:rPr>
                <w:rFonts w:ascii="Arial" w:hAnsi="Arial" w:cs="Arial"/>
                <w:bCs/>
                <w:color w:val="215868" w:themeColor="accent5" w:themeShade="80"/>
                <w:sz w:val="18"/>
                <w:szCs w:val="18"/>
              </w:rPr>
              <w:t>%</w:t>
            </w:r>
          </w:p>
        </w:tc>
        <w:tc>
          <w:tcPr>
            <w:tcW w:w="709" w:type="dxa"/>
            <w:vAlign w:val="center"/>
          </w:tcPr>
          <w:p w14:paraId="748DAB2D" w14:textId="070EE9B3" w:rsidR="00201F76" w:rsidRPr="0076155D" w:rsidRDefault="00201F76" w:rsidP="00201F7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+5%</w:t>
            </w:r>
          </w:p>
        </w:tc>
        <w:tc>
          <w:tcPr>
            <w:tcW w:w="709" w:type="dxa"/>
            <w:vAlign w:val="center"/>
          </w:tcPr>
          <w:p w14:paraId="79ECC040" w14:textId="0E1F1E44" w:rsidR="00201F76" w:rsidRPr="0076155D" w:rsidRDefault="00201F76"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-10</w:t>
            </w:r>
            <w:r w:rsidRPr="006620F4">
              <w:rPr>
                <w:rFonts w:ascii="Arial" w:hAnsi="Arial" w:cs="Arial"/>
                <w:bCs/>
                <w:color w:val="215868" w:themeColor="accent5" w:themeShade="80"/>
                <w:sz w:val="18"/>
                <w:szCs w:val="18"/>
              </w:rPr>
              <w:t>%</w:t>
            </w:r>
          </w:p>
        </w:tc>
        <w:tc>
          <w:tcPr>
            <w:tcW w:w="708" w:type="dxa"/>
            <w:vAlign w:val="center"/>
          </w:tcPr>
          <w:p w14:paraId="0BF62A21" w14:textId="691DFF86" w:rsidR="00201F76" w:rsidRPr="0076155D" w:rsidRDefault="00201F76" w:rsidP="00C84F6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+2</w:t>
            </w:r>
            <w:r w:rsidRPr="006620F4">
              <w:rPr>
                <w:rFonts w:ascii="Arial" w:hAnsi="Arial" w:cs="Arial"/>
                <w:bCs/>
                <w:color w:val="215868" w:themeColor="accent5" w:themeShade="80"/>
                <w:sz w:val="18"/>
                <w:szCs w:val="18"/>
              </w:rPr>
              <w:t>%</w:t>
            </w:r>
          </w:p>
        </w:tc>
        <w:tc>
          <w:tcPr>
            <w:tcW w:w="709" w:type="dxa"/>
            <w:vAlign w:val="center"/>
          </w:tcPr>
          <w:p w14:paraId="7F700D22" w14:textId="5C66B10B" w:rsidR="00201F76" w:rsidRPr="00C84F6D" w:rsidRDefault="00C632A8" w:rsidP="0036550E">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-3</w:t>
            </w:r>
            <w:r w:rsidR="0036550E">
              <w:rPr>
                <w:rFonts w:ascii="Arial" w:hAnsi="Arial" w:cs="Arial"/>
                <w:bCs/>
                <w:color w:val="215868" w:themeColor="accent5" w:themeShade="80"/>
                <w:sz w:val="18"/>
                <w:szCs w:val="18"/>
              </w:rPr>
              <w:t>%</w:t>
            </w:r>
          </w:p>
        </w:tc>
        <w:tc>
          <w:tcPr>
            <w:tcW w:w="830" w:type="dxa"/>
            <w:vAlign w:val="center"/>
          </w:tcPr>
          <w:p w14:paraId="0A984E77" w14:textId="51ED5ADF" w:rsidR="00201F76" w:rsidRPr="0076155D" w:rsidRDefault="00201F76" w:rsidP="0036550E">
            <w:pPr>
              <w:jc w:val="right"/>
              <w:cnfStyle w:val="000000100000" w:firstRow="0" w:lastRow="0" w:firstColumn="0" w:lastColumn="0" w:oddVBand="0" w:evenVBand="0" w:oddHBand="1" w:evenHBand="0" w:firstRowFirstColumn="0" w:firstRowLastColumn="0" w:lastRowFirstColumn="0" w:lastRowLastColumn="0"/>
              <w:rPr>
                <w:color w:val="215868" w:themeColor="accent5" w:themeShade="80"/>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61</w:t>
            </w:r>
            <w:r>
              <w:rPr>
                <w:rFonts w:ascii="Arial" w:hAnsi="Arial" w:cs="Arial"/>
                <w:bCs/>
                <w:color w:val="215868" w:themeColor="accent5" w:themeShade="80"/>
                <w:sz w:val="18"/>
                <w:szCs w:val="18"/>
              </w:rPr>
              <w:t>M</w:t>
            </w:r>
          </w:p>
        </w:tc>
        <w:tc>
          <w:tcPr>
            <w:tcW w:w="810" w:type="dxa"/>
            <w:vAlign w:val="center"/>
          </w:tcPr>
          <w:p w14:paraId="1006DE69" w14:textId="1854C2BA" w:rsidR="00201F76" w:rsidRDefault="00201F76" w:rsidP="00C84F6D">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1.6</w:t>
            </w:r>
            <w:r w:rsidRPr="00C84F6D">
              <w:rPr>
                <w:rFonts w:ascii="Arial" w:hAnsi="Arial" w:cs="Arial"/>
                <w:bCs/>
                <w:color w:val="215868" w:themeColor="accent5" w:themeShade="80"/>
                <w:sz w:val="18"/>
                <w:szCs w:val="18"/>
              </w:rPr>
              <w:t>%</w:t>
            </w:r>
          </w:p>
        </w:tc>
        <w:tc>
          <w:tcPr>
            <w:tcW w:w="770" w:type="dxa"/>
            <w:vAlign w:val="center"/>
          </w:tcPr>
          <w:p w14:paraId="728F17F1" w14:textId="113FF664" w:rsidR="00201F76" w:rsidRDefault="00201F76" w:rsidP="00C84F6D">
            <w:pPr>
              <w:jc w:val="right"/>
              <w:cnfStyle w:val="000000100000" w:firstRow="0" w:lastRow="0" w:firstColumn="0" w:lastColumn="0" w:oddVBand="0" w:evenVBand="0" w:oddHBand="1" w:evenHBand="0" w:firstRowFirstColumn="0" w:firstRowLastColumn="0" w:lastRowFirstColumn="0" w:lastRowLastColumn="0"/>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5.6</w:t>
            </w:r>
            <w:r w:rsidRPr="00C84F6D">
              <w:rPr>
                <w:rFonts w:ascii="Arial" w:hAnsi="Arial" w:cs="Arial"/>
                <w:bCs/>
                <w:color w:val="215868" w:themeColor="accent5" w:themeShade="80"/>
                <w:sz w:val="18"/>
                <w:szCs w:val="18"/>
              </w:rPr>
              <w:t>%</w:t>
            </w:r>
          </w:p>
        </w:tc>
      </w:tr>
      <w:tr w:rsidR="0036550E" w:rsidRPr="00346DE1" w14:paraId="56CF105C" w14:textId="77777777" w:rsidTr="00C632A8">
        <w:trPr>
          <w:trHeight w:val="264"/>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6DDACC86" w14:textId="77777777" w:rsidR="00201F76" w:rsidRPr="00346DE1" w:rsidRDefault="00201F76" w:rsidP="00C84F6D">
            <w:pPr>
              <w:rPr>
                <w:rFonts w:ascii="Arial" w:hAnsi="Arial" w:cs="Arial"/>
                <w:b w:val="0"/>
                <w:bCs w:val="0"/>
                <w:color w:val="215868" w:themeColor="accent5" w:themeShade="80"/>
                <w:sz w:val="18"/>
                <w:szCs w:val="18"/>
              </w:rPr>
            </w:pPr>
            <w:r w:rsidRPr="00346DE1">
              <w:rPr>
                <w:rFonts w:ascii="Arial" w:hAnsi="Arial" w:cs="Arial"/>
                <w:b w:val="0"/>
                <w:bCs w:val="0"/>
                <w:color w:val="215868" w:themeColor="accent5" w:themeShade="80"/>
                <w:sz w:val="18"/>
                <w:szCs w:val="18"/>
              </w:rPr>
              <w:t>Processed chicken</w:t>
            </w:r>
          </w:p>
        </w:tc>
        <w:tc>
          <w:tcPr>
            <w:tcW w:w="700" w:type="dxa"/>
            <w:vAlign w:val="center"/>
          </w:tcPr>
          <w:p w14:paraId="7DE524F7" w14:textId="2872211B" w:rsidR="00201F76" w:rsidRDefault="00201F76" w:rsidP="00C84F6D">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rPr>
              <w:t>-2</w:t>
            </w:r>
            <w:r w:rsidRPr="00E277B8">
              <w:rPr>
                <w:rFonts w:ascii="Arial" w:hAnsi="Arial" w:cs="Arial"/>
                <w:color w:val="215868" w:themeColor="accent5" w:themeShade="80"/>
                <w:sz w:val="18"/>
              </w:rPr>
              <w:t>%</w:t>
            </w:r>
          </w:p>
        </w:tc>
        <w:tc>
          <w:tcPr>
            <w:tcW w:w="709" w:type="dxa"/>
            <w:vAlign w:val="center"/>
          </w:tcPr>
          <w:p w14:paraId="5AC81456" w14:textId="2E88B57D" w:rsidR="00201F76" w:rsidRDefault="00201F76" w:rsidP="00201F76">
            <w:pPr>
              <w:jc w:val="right"/>
              <w:cnfStyle w:val="000000000000" w:firstRow="0" w:lastRow="0" w:firstColumn="0" w:lastColumn="0" w:oddVBand="0" w:evenVBand="0" w:oddHBand="0" w:evenHBand="0" w:firstRowFirstColumn="0" w:firstRowLastColumn="0" w:lastRowFirstColumn="0" w:lastRowLastColumn="0"/>
            </w:pPr>
            <w:r w:rsidRPr="004258EB">
              <w:rPr>
                <w:rFonts w:ascii="Arial" w:hAnsi="Arial" w:cs="Arial"/>
                <w:color w:val="215868" w:themeColor="accent5" w:themeShade="80"/>
                <w:sz w:val="18"/>
              </w:rPr>
              <w:t>+</w:t>
            </w:r>
            <w:r>
              <w:rPr>
                <w:rFonts w:ascii="Arial" w:hAnsi="Arial" w:cs="Arial"/>
                <w:color w:val="215868" w:themeColor="accent5" w:themeShade="80"/>
                <w:sz w:val="18"/>
              </w:rPr>
              <w:t>14</w:t>
            </w:r>
            <w:r w:rsidRPr="004258EB">
              <w:rPr>
                <w:rFonts w:ascii="Arial" w:hAnsi="Arial" w:cs="Arial"/>
                <w:color w:val="215868" w:themeColor="accent5" w:themeShade="80"/>
                <w:sz w:val="18"/>
              </w:rPr>
              <w:t>%</w:t>
            </w:r>
          </w:p>
        </w:tc>
        <w:tc>
          <w:tcPr>
            <w:tcW w:w="709" w:type="dxa"/>
            <w:vAlign w:val="center"/>
          </w:tcPr>
          <w:p w14:paraId="48C103C7" w14:textId="3E321511" w:rsidR="00201F76" w:rsidRPr="00346DE1" w:rsidRDefault="00201F76" w:rsidP="00C84F6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+3%</w:t>
            </w:r>
          </w:p>
        </w:tc>
        <w:tc>
          <w:tcPr>
            <w:tcW w:w="708" w:type="dxa"/>
            <w:vAlign w:val="center"/>
          </w:tcPr>
          <w:p w14:paraId="2FBACFA5" w14:textId="1A1D870E" w:rsidR="00201F76" w:rsidRPr="00346DE1" w:rsidRDefault="00201F76" w:rsidP="00C84F6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+4.6%</w:t>
            </w:r>
          </w:p>
        </w:tc>
        <w:tc>
          <w:tcPr>
            <w:tcW w:w="709" w:type="dxa"/>
            <w:vAlign w:val="center"/>
          </w:tcPr>
          <w:p w14:paraId="2CBCCB6D" w14:textId="36B45F9D" w:rsidR="00201F76" w:rsidRPr="00201F76" w:rsidRDefault="00201F76" w:rsidP="00C84F6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6"/>
              </w:rPr>
            </w:pPr>
            <w:r w:rsidRPr="00201F76">
              <w:rPr>
                <w:rFonts w:ascii="Arial" w:hAnsi="Arial" w:cs="Arial"/>
                <w:bCs/>
                <w:color w:val="215868" w:themeColor="accent5" w:themeShade="80"/>
                <w:sz w:val="18"/>
                <w:szCs w:val="16"/>
              </w:rPr>
              <w:t>+</w:t>
            </w:r>
            <w:r>
              <w:rPr>
                <w:rFonts w:ascii="Arial" w:hAnsi="Arial" w:cs="Arial"/>
                <w:bCs/>
                <w:color w:val="215868" w:themeColor="accent5" w:themeShade="80"/>
                <w:sz w:val="18"/>
                <w:szCs w:val="16"/>
              </w:rPr>
              <w:t>12</w:t>
            </w:r>
            <w:r w:rsidRPr="00201F76">
              <w:rPr>
                <w:rFonts w:ascii="Arial" w:hAnsi="Arial" w:cs="Arial"/>
                <w:bCs/>
                <w:color w:val="215868" w:themeColor="accent5" w:themeShade="80"/>
                <w:sz w:val="18"/>
                <w:szCs w:val="16"/>
              </w:rPr>
              <w:t>%</w:t>
            </w:r>
          </w:p>
        </w:tc>
        <w:tc>
          <w:tcPr>
            <w:tcW w:w="709" w:type="dxa"/>
            <w:vAlign w:val="center"/>
          </w:tcPr>
          <w:p w14:paraId="61D4F04F" w14:textId="3B959979" w:rsidR="00201F76" w:rsidRPr="00201F76" w:rsidRDefault="00201F76" w:rsidP="00201F7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6"/>
              </w:rPr>
            </w:pPr>
            <w:r w:rsidRPr="00201F76">
              <w:rPr>
                <w:rFonts w:ascii="Arial" w:hAnsi="Arial" w:cs="Arial"/>
                <w:color w:val="215868" w:themeColor="accent5" w:themeShade="80"/>
                <w:sz w:val="18"/>
                <w:szCs w:val="16"/>
              </w:rPr>
              <w:t>+</w:t>
            </w:r>
            <w:r>
              <w:rPr>
                <w:rFonts w:ascii="Arial" w:hAnsi="Arial" w:cs="Arial"/>
                <w:color w:val="215868" w:themeColor="accent5" w:themeShade="80"/>
                <w:sz w:val="18"/>
                <w:szCs w:val="16"/>
              </w:rPr>
              <w:t>14</w:t>
            </w:r>
            <w:r w:rsidRPr="00201F76">
              <w:rPr>
                <w:rFonts w:ascii="Arial" w:hAnsi="Arial" w:cs="Arial"/>
                <w:color w:val="215868" w:themeColor="accent5" w:themeShade="80"/>
                <w:sz w:val="18"/>
                <w:szCs w:val="16"/>
              </w:rPr>
              <w:t>%</w:t>
            </w:r>
          </w:p>
        </w:tc>
        <w:tc>
          <w:tcPr>
            <w:tcW w:w="709" w:type="dxa"/>
            <w:vAlign w:val="center"/>
          </w:tcPr>
          <w:p w14:paraId="016FE65A" w14:textId="3853C25B" w:rsidR="00201F76" w:rsidRPr="0076155D" w:rsidRDefault="00201F76" w:rsidP="00201F7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6620F4">
              <w:rPr>
                <w:rFonts w:ascii="Arial" w:hAnsi="Arial" w:cs="Arial"/>
                <w:bCs/>
                <w:color w:val="215868" w:themeColor="accent5" w:themeShade="80"/>
                <w:sz w:val="18"/>
                <w:szCs w:val="18"/>
              </w:rPr>
              <w:t>+</w:t>
            </w:r>
            <w:r>
              <w:rPr>
                <w:rFonts w:ascii="Arial" w:hAnsi="Arial" w:cs="Arial"/>
                <w:bCs/>
                <w:color w:val="215868" w:themeColor="accent5" w:themeShade="80"/>
                <w:sz w:val="18"/>
                <w:szCs w:val="18"/>
              </w:rPr>
              <w:t>9</w:t>
            </w:r>
            <w:r w:rsidRPr="006620F4">
              <w:rPr>
                <w:rFonts w:ascii="Arial" w:hAnsi="Arial" w:cs="Arial"/>
                <w:bCs/>
                <w:color w:val="215868" w:themeColor="accent5" w:themeShade="80"/>
                <w:sz w:val="18"/>
                <w:szCs w:val="18"/>
              </w:rPr>
              <w:t>%</w:t>
            </w:r>
          </w:p>
        </w:tc>
        <w:tc>
          <w:tcPr>
            <w:tcW w:w="708" w:type="dxa"/>
            <w:vAlign w:val="center"/>
          </w:tcPr>
          <w:p w14:paraId="14BD903B" w14:textId="62123354" w:rsidR="00201F76" w:rsidRPr="0076155D" w:rsidRDefault="00201F76" w:rsidP="00201F7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6620F4">
              <w:rPr>
                <w:rFonts w:ascii="Arial" w:hAnsi="Arial" w:cs="Arial"/>
                <w:bCs/>
                <w:color w:val="215868" w:themeColor="accent5" w:themeShade="80"/>
                <w:sz w:val="18"/>
                <w:szCs w:val="18"/>
              </w:rPr>
              <w:t>+</w:t>
            </w:r>
            <w:r>
              <w:rPr>
                <w:rFonts w:ascii="Arial" w:hAnsi="Arial" w:cs="Arial"/>
                <w:bCs/>
                <w:color w:val="215868" w:themeColor="accent5" w:themeShade="80"/>
                <w:sz w:val="18"/>
                <w:szCs w:val="18"/>
              </w:rPr>
              <w:t>26</w:t>
            </w:r>
            <w:r w:rsidRPr="006620F4">
              <w:rPr>
                <w:rFonts w:ascii="Arial" w:hAnsi="Arial" w:cs="Arial"/>
                <w:bCs/>
                <w:color w:val="215868" w:themeColor="accent5" w:themeShade="80"/>
                <w:sz w:val="18"/>
                <w:szCs w:val="18"/>
              </w:rPr>
              <w:t>%</w:t>
            </w:r>
          </w:p>
        </w:tc>
        <w:tc>
          <w:tcPr>
            <w:tcW w:w="709" w:type="dxa"/>
            <w:vAlign w:val="center"/>
          </w:tcPr>
          <w:p w14:paraId="19C15E64" w14:textId="2A33561B" w:rsidR="00201F76" w:rsidRPr="00C84F6D" w:rsidRDefault="00C632A8" w:rsidP="0036550E">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+12</w:t>
            </w:r>
            <w:r w:rsidR="0036550E">
              <w:rPr>
                <w:rFonts w:ascii="Arial" w:hAnsi="Arial" w:cs="Arial"/>
                <w:bCs/>
                <w:color w:val="215868" w:themeColor="accent5" w:themeShade="80"/>
                <w:sz w:val="18"/>
                <w:szCs w:val="18"/>
              </w:rPr>
              <w:t>%</w:t>
            </w:r>
          </w:p>
        </w:tc>
        <w:tc>
          <w:tcPr>
            <w:tcW w:w="830" w:type="dxa"/>
            <w:vAlign w:val="center"/>
          </w:tcPr>
          <w:p w14:paraId="4113ED20" w14:textId="110F5645" w:rsidR="00201F76" w:rsidRPr="00346DE1" w:rsidRDefault="00201F76" w:rsidP="0036550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53</w:t>
            </w:r>
            <w:r>
              <w:rPr>
                <w:rFonts w:ascii="Arial" w:hAnsi="Arial" w:cs="Arial"/>
                <w:bCs/>
                <w:color w:val="215868" w:themeColor="accent5" w:themeShade="80"/>
                <w:sz w:val="18"/>
                <w:szCs w:val="18"/>
              </w:rPr>
              <w:t>M</w:t>
            </w:r>
          </w:p>
        </w:tc>
        <w:tc>
          <w:tcPr>
            <w:tcW w:w="810" w:type="dxa"/>
            <w:vAlign w:val="center"/>
          </w:tcPr>
          <w:p w14:paraId="347CCA14" w14:textId="178D45D8" w:rsidR="00201F76" w:rsidRDefault="00201F76" w:rsidP="00C84F6D">
            <w:pPr>
              <w:jc w:val="right"/>
              <w:cnfStyle w:val="000000000000" w:firstRow="0" w:lastRow="0" w:firstColumn="0" w:lastColumn="0" w:oddVBand="0" w:evenVBand="0" w:oddHBand="0" w:evenHBand="0" w:firstRowFirstColumn="0" w:firstRowLastColumn="0" w:lastRowFirstColumn="0" w:lastRowLastColumn="0"/>
            </w:pPr>
            <w:r w:rsidRPr="00C84F6D">
              <w:rPr>
                <w:rFonts w:ascii="Arial" w:hAnsi="Arial" w:cs="Arial"/>
                <w:bCs/>
                <w:color w:val="215868" w:themeColor="accent5" w:themeShade="80"/>
                <w:sz w:val="18"/>
                <w:szCs w:val="18"/>
              </w:rPr>
              <w:t>+</w:t>
            </w:r>
            <w:r w:rsidR="00C632A8">
              <w:rPr>
                <w:rFonts w:ascii="Arial" w:hAnsi="Arial" w:cs="Arial"/>
                <w:bCs/>
                <w:color w:val="215868" w:themeColor="accent5" w:themeShade="80"/>
                <w:sz w:val="18"/>
                <w:szCs w:val="18"/>
              </w:rPr>
              <w:t>12</w:t>
            </w:r>
            <w:r w:rsidRPr="00C84F6D">
              <w:rPr>
                <w:rFonts w:ascii="Arial" w:hAnsi="Arial" w:cs="Arial"/>
                <w:bCs/>
                <w:color w:val="215868" w:themeColor="accent5" w:themeShade="80"/>
                <w:sz w:val="18"/>
                <w:szCs w:val="18"/>
              </w:rPr>
              <w:t>%</w:t>
            </w:r>
          </w:p>
        </w:tc>
        <w:tc>
          <w:tcPr>
            <w:tcW w:w="770" w:type="dxa"/>
            <w:vAlign w:val="center"/>
          </w:tcPr>
          <w:p w14:paraId="326138DC" w14:textId="55CCD35A" w:rsidR="00201F76" w:rsidRDefault="00C632A8" w:rsidP="00C84F6D">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bCs/>
                <w:color w:val="215868" w:themeColor="accent5" w:themeShade="80"/>
                <w:sz w:val="18"/>
                <w:szCs w:val="18"/>
              </w:rPr>
              <w:t>-4.5</w:t>
            </w:r>
            <w:r w:rsidR="00201F76" w:rsidRPr="00C84F6D">
              <w:rPr>
                <w:rFonts w:ascii="Arial" w:hAnsi="Arial" w:cs="Arial"/>
                <w:bCs/>
                <w:color w:val="215868" w:themeColor="accent5" w:themeShade="80"/>
                <w:sz w:val="18"/>
                <w:szCs w:val="18"/>
              </w:rPr>
              <w:t>%</w:t>
            </w:r>
          </w:p>
        </w:tc>
      </w:tr>
    </w:tbl>
    <w:p w14:paraId="60B37B5A" w14:textId="77777777" w:rsidR="00B2082E" w:rsidRPr="0027199D" w:rsidRDefault="00B2082E" w:rsidP="00963883">
      <w:pPr>
        <w:pStyle w:val="NoSpacing"/>
        <w:rPr>
          <w:rFonts w:ascii="Arial" w:hAnsi="Arial" w:cs="Arial"/>
          <w:sz w:val="8"/>
          <w:szCs w:val="10"/>
        </w:rPr>
      </w:pPr>
    </w:p>
    <w:p w14:paraId="6090150B" w14:textId="77777777" w:rsidR="00963883" w:rsidRPr="006879B2" w:rsidRDefault="00963883" w:rsidP="00963883">
      <w:pPr>
        <w:pStyle w:val="NoSpacing"/>
        <w:rPr>
          <w:rFonts w:ascii="Arial" w:hAnsi="Arial" w:cs="Arial"/>
          <w:sz w:val="16"/>
          <w:szCs w:val="16"/>
        </w:rPr>
      </w:pPr>
      <w:r w:rsidRPr="006879B2">
        <w:rPr>
          <w:rFonts w:ascii="Arial" w:hAnsi="Arial" w:cs="Arial"/>
          <w:sz w:val="16"/>
          <w:szCs w:val="16"/>
        </w:rPr>
        <w:t>Sour</w:t>
      </w:r>
      <w:r w:rsidR="005B62E8">
        <w:rPr>
          <w:rFonts w:ascii="Arial" w:hAnsi="Arial" w:cs="Arial"/>
          <w:sz w:val="16"/>
          <w:szCs w:val="16"/>
        </w:rPr>
        <w:t xml:space="preserve">ce: IRI, </w:t>
      </w:r>
      <w:r w:rsidR="009C03F9">
        <w:rPr>
          <w:rFonts w:ascii="Arial" w:hAnsi="Arial" w:cs="Arial"/>
          <w:sz w:val="16"/>
          <w:szCs w:val="16"/>
        </w:rPr>
        <w:t xml:space="preserve">Integrated </w:t>
      </w:r>
      <w:r w:rsidR="007404C4">
        <w:rPr>
          <w:rFonts w:ascii="Arial" w:hAnsi="Arial" w:cs="Arial"/>
          <w:sz w:val="16"/>
          <w:szCs w:val="16"/>
        </w:rPr>
        <w:t xml:space="preserve">Fresh, </w:t>
      </w:r>
      <w:r w:rsidR="005B62E8">
        <w:rPr>
          <w:rFonts w:ascii="Arial" w:hAnsi="Arial" w:cs="Arial"/>
          <w:sz w:val="16"/>
          <w:szCs w:val="16"/>
        </w:rPr>
        <w:t>Total US, MULO</w:t>
      </w:r>
    </w:p>
    <w:p w14:paraId="1005F89A" w14:textId="77777777" w:rsidR="001C0BD5" w:rsidRDefault="001C0BD5" w:rsidP="006A3BE6">
      <w:pPr>
        <w:pStyle w:val="NoSpacing"/>
        <w:rPr>
          <w:rFonts w:ascii="Arial" w:hAnsi="Arial" w:cs="Arial"/>
          <w:b/>
          <w:color w:val="595959" w:themeColor="text1" w:themeTint="A6"/>
          <w:sz w:val="24"/>
          <w:szCs w:val="24"/>
        </w:rPr>
      </w:pPr>
    </w:p>
    <w:p w14:paraId="6D1535A7" w14:textId="3E987231" w:rsidR="005454BB" w:rsidRPr="00740C65" w:rsidRDefault="00BF1669" w:rsidP="006A3BE6">
      <w:pPr>
        <w:pStyle w:val="NoSpacing"/>
        <w:rPr>
          <w:rFonts w:ascii="Arial" w:hAnsi="Arial" w:cs="Arial"/>
          <w:sz w:val="20"/>
          <w:szCs w:val="20"/>
        </w:rPr>
      </w:pPr>
      <w:r w:rsidRPr="00740C65">
        <w:rPr>
          <w:rFonts w:ascii="Arial" w:hAnsi="Arial" w:cs="Arial"/>
          <w:b/>
          <w:color w:val="595959" w:themeColor="text1" w:themeTint="A6"/>
          <w:sz w:val="24"/>
          <w:szCs w:val="24"/>
        </w:rPr>
        <w:t>Grinds</w:t>
      </w:r>
      <w:r w:rsidR="00DC3D3A">
        <w:rPr>
          <w:rFonts w:ascii="Arial" w:hAnsi="Arial" w:cs="Arial"/>
          <w:b/>
          <w:color w:val="595959" w:themeColor="text1" w:themeTint="A6"/>
          <w:sz w:val="24"/>
          <w:szCs w:val="24"/>
        </w:rPr>
        <w:t xml:space="preserve"> </w:t>
      </w:r>
      <w:r w:rsidR="003A7881">
        <w:rPr>
          <w:rFonts w:ascii="Arial" w:hAnsi="Arial" w:cs="Arial"/>
          <w:b/>
          <w:color w:val="595959" w:themeColor="text1" w:themeTint="A6"/>
          <w:sz w:val="24"/>
          <w:szCs w:val="24"/>
        </w:rPr>
        <w:br/>
      </w:r>
      <w:r w:rsidR="00C632A8">
        <w:rPr>
          <w:rFonts w:ascii="Arial" w:eastAsia="Times New Roman" w:hAnsi="Arial" w:cs="Arial"/>
          <w:sz w:val="20"/>
          <w:szCs w:val="20"/>
        </w:rPr>
        <w:t xml:space="preserve">Grinds generated $1.12 billion in September, with 85% of dollars being generated by ground beef. Despite being a massive seller, ground beef matched last year’s volume sales and increased 2% in dollars. Ground turkey had high dollar gains but fell 5.6% behind on pounds. </w:t>
      </w:r>
    </w:p>
    <w:p w14:paraId="1D92AA58" w14:textId="77777777" w:rsidR="008916F6" w:rsidRPr="0027199D" w:rsidRDefault="008916F6" w:rsidP="008916F6">
      <w:pPr>
        <w:pStyle w:val="NoSpacing"/>
        <w:rPr>
          <w:rFonts w:ascii="Arial" w:hAnsi="Arial" w:cs="Arial"/>
          <w:sz w:val="10"/>
          <w:szCs w:val="20"/>
        </w:rPr>
      </w:pPr>
    </w:p>
    <w:tbl>
      <w:tblPr>
        <w:tblStyle w:val="LightShading-Accent5"/>
        <w:tblW w:w="10080" w:type="dxa"/>
        <w:tblBorders>
          <w:top w:val="none" w:sz="0" w:space="0" w:color="auto"/>
          <w:bottom w:val="none" w:sz="0" w:space="0" w:color="auto"/>
        </w:tblBorders>
        <w:tblLook w:val="04A0" w:firstRow="1" w:lastRow="0" w:firstColumn="1" w:lastColumn="0" w:noHBand="0" w:noVBand="1"/>
      </w:tblPr>
      <w:tblGrid>
        <w:gridCol w:w="1979"/>
        <w:gridCol w:w="1157"/>
        <w:gridCol w:w="1157"/>
        <w:gridCol w:w="1157"/>
        <w:gridCol w:w="1158"/>
        <w:gridCol w:w="1157"/>
        <w:gridCol w:w="1157"/>
        <w:gridCol w:w="1158"/>
      </w:tblGrid>
      <w:tr w:rsidR="00EC7DB9" w:rsidRPr="006879B2" w14:paraId="12E85375" w14:textId="46E2DE0B" w:rsidTr="00E67E79">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79" w:type="dxa"/>
            <w:tcBorders>
              <w:top w:val="none" w:sz="0" w:space="0" w:color="auto"/>
              <w:bottom w:val="none" w:sz="0" w:space="0" w:color="auto"/>
            </w:tcBorders>
            <w:shd w:val="clear" w:color="auto" w:fill="17365D" w:themeFill="text2" w:themeFillShade="BF"/>
            <w:vAlign w:val="center"/>
          </w:tcPr>
          <w:p w14:paraId="1E9DAC7D" w14:textId="76F8A0E6" w:rsidR="00334F1A" w:rsidRPr="006879B2" w:rsidRDefault="00334F1A" w:rsidP="007A48F5">
            <w:pPr>
              <w:pStyle w:val="NoSpacing"/>
              <w:rPr>
                <w:rFonts w:ascii="Arial" w:hAnsi="Arial" w:cs="Arial"/>
                <w:color w:val="FFFFFF" w:themeColor="background1"/>
                <w:sz w:val="18"/>
                <w:szCs w:val="18"/>
              </w:rPr>
            </w:pPr>
            <w:r>
              <w:rPr>
                <w:rFonts w:ascii="Arial" w:eastAsia="Times New Roman" w:hAnsi="Arial" w:cs="Arial"/>
                <w:color w:val="FFFFFF" w:themeColor="background1"/>
                <w:sz w:val="18"/>
                <w:szCs w:val="20"/>
              </w:rPr>
              <w:t xml:space="preserve">Grinds </w:t>
            </w:r>
            <w:r w:rsidR="007A48F5">
              <w:rPr>
                <w:rFonts w:ascii="Arial" w:eastAsia="Times New Roman" w:hAnsi="Arial" w:cs="Arial"/>
                <w:color w:val="FFFFFF" w:themeColor="background1"/>
                <w:sz w:val="18"/>
                <w:szCs w:val="20"/>
              </w:rPr>
              <w:t>September</w:t>
            </w:r>
            <w:r w:rsidR="0053616C">
              <w:rPr>
                <w:rFonts w:ascii="Arial" w:eastAsia="Times New Roman" w:hAnsi="Arial" w:cs="Arial"/>
                <w:color w:val="FFFFFF" w:themeColor="background1"/>
                <w:sz w:val="18"/>
                <w:szCs w:val="20"/>
              </w:rPr>
              <w:t xml:space="preserve"> </w:t>
            </w:r>
            <w:r>
              <w:rPr>
                <w:rFonts w:ascii="Arial" w:eastAsia="Times New Roman" w:hAnsi="Arial" w:cs="Arial"/>
                <w:color w:val="FFFFFF" w:themeColor="background1"/>
                <w:sz w:val="18"/>
                <w:szCs w:val="20"/>
              </w:rPr>
              <w:t>2022</w:t>
            </w:r>
          </w:p>
        </w:tc>
        <w:tc>
          <w:tcPr>
            <w:tcW w:w="1157" w:type="dxa"/>
            <w:tcBorders>
              <w:top w:val="none" w:sz="0" w:space="0" w:color="auto"/>
              <w:bottom w:val="none" w:sz="0" w:space="0" w:color="auto"/>
            </w:tcBorders>
            <w:shd w:val="clear" w:color="auto" w:fill="17365D" w:themeFill="text2" w:themeFillShade="BF"/>
            <w:vAlign w:val="center"/>
          </w:tcPr>
          <w:p w14:paraId="21EF0BEE" w14:textId="74E4964A" w:rsidR="00334F1A" w:rsidRPr="006879B2" w:rsidRDefault="00334F1A" w:rsidP="00BE4FAF">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879B2">
              <w:rPr>
                <w:rFonts w:ascii="Arial" w:hAnsi="Arial" w:cs="Arial"/>
                <w:color w:val="FFFFFF" w:themeColor="background1"/>
                <w:sz w:val="18"/>
                <w:szCs w:val="18"/>
              </w:rPr>
              <w:t>Dollar</w:t>
            </w:r>
            <w:r>
              <w:rPr>
                <w:rFonts w:ascii="Arial" w:hAnsi="Arial" w:cs="Arial"/>
                <w:color w:val="FFFFFF" w:themeColor="background1"/>
                <w:sz w:val="18"/>
                <w:szCs w:val="18"/>
              </w:rPr>
              <w:t xml:space="preserve"> sales</w:t>
            </w:r>
          </w:p>
        </w:tc>
        <w:tc>
          <w:tcPr>
            <w:tcW w:w="1157" w:type="dxa"/>
            <w:tcBorders>
              <w:top w:val="none" w:sz="0" w:space="0" w:color="auto"/>
              <w:bottom w:val="none" w:sz="0" w:space="0" w:color="auto"/>
            </w:tcBorders>
            <w:shd w:val="clear" w:color="auto" w:fill="17365D" w:themeFill="text2" w:themeFillShade="BF"/>
            <w:vAlign w:val="center"/>
          </w:tcPr>
          <w:p w14:paraId="6AA97F1A" w14:textId="3B24B8DF" w:rsidR="00334F1A" w:rsidRDefault="00334F1A" w:rsidP="00BE4FAF">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vs. 2021</w:t>
            </w:r>
          </w:p>
        </w:tc>
        <w:tc>
          <w:tcPr>
            <w:tcW w:w="1157" w:type="dxa"/>
            <w:tcBorders>
              <w:top w:val="none" w:sz="0" w:space="0" w:color="auto"/>
              <w:bottom w:val="none" w:sz="0" w:space="0" w:color="auto"/>
            </w:tcBorders>
            <w:shd w:val="clear" w:color="auto" w:fill="17365D" w:themeFill="text2" w:themeFillShade="BF"/>
            <w:vAlign w:val="center"/>
          </w:tcPr>
          <w:p w14:paraId="037DF9E4" w14:textId="54B24FED" w:rsidR="00334F1A" w:rsidRPr="006879B2" w:rsidRDefault="00334F1A" w:rsidP="00BE4FAF">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vs. 20</w:t>
            </w:r>
            <w:r w:rsidR="00BE4FAF">
              <w:rPr>
                <w:rFonts w:ascii="Arial" w:hAnsi="Arial" w:cs="Arial"/>
                <w:color w:val="FFFFFF" w:themeColor="background1"/>
                <w:sz w:val="18"/>
                <w:szCs w:val="18"/>
              </w:rPr>
              <w:t>20</w:t>
            </w:r>
          </w:p>
        </w:tc>
        <w:tc>
          <w:tcPr>
            <w:tcW w:w="1158" w:type="dxa"/>
            <w:tcBorders>
              <w:top w:val="none" w:sz="0" w:space="0" w:color="auto"/>
              <w:bottom w:val="none" w:sz="0" w:space="0" w:color="auto"/>
            </w:tcBorders>
            <w:shd w:val="clear" w:color="auto" w:fill="17365D" w:themeFill="text2" w:themeFillShade="BF"/>
            <w:vAlign w:val="center"/>
          </w:tcPr>
          <w:p w14:paraId="44E11D39" w14:textId="7C18338F" w:rsidR="00334F1A" w:rsidRDefault="00334F1A" w:rsidP="00BE4FAF">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vs. 2019</w:t>
            </w:r>
          </w:p>
        </w:tc>
        <w:tc>
          <w:tcPr>
            <w:tcW w:w="1157" w:type="dxa"/>
            <w:tcBorders>
              <w:top w:val="none" w:sz="0" w:space="0" w:color="auto"/>
              <w:bottom w:val="none" w:sz="0" w:space="0" w:color="auto"/>
            </w:tcBorders>
            <w:shd w:val="clear" w:color="auto" w:fill="17365D" w:themeFill="text2" w:themeFillShade="BF"/>
            <w:vAlign w:val="center"/>
          </w:tcPr>
          <w:p w14:paraId="292DF13B" w14:textId="17A0C2DD" w:rsidR="00334F1A" w:rsidRDefault="00C1288B" w:rsidP="00BE4FAF">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roofErr w:type="spellStart"/>
            <w:r>
              <w:rPr>
                <w:rFonts w:ascii="Arial" w:hAnsi="Arial" w:cs="Arial"/>
                <w:color w:val="FFFFFF" w:themeColor="background1"/>
                <w:sz w:val="18"/>
                <w:szCs w:val="18"/>
              </w:rPr>
              <w:t>l</w:t>
            </w:r>
            <w:r w:rsidR="00334F1A">
              <w:rPr>
                <w:rFonts w:ascii="Arial" w:hAnsi="Arial" w:cs="Arial"/>
                <w:color w:val="FFFFFF" w:themeColor="background1"/>
                <w:sz w:val="18"/>
                <w:szCs w:val="18"/>
              </w:rPr>
              <w:t>bs</w:t>
            </w:r>
            <w:proofErr w:type="spellEnd"/>
            <w:r w:rsidR="00334F1A">
              <w:rPr>
                <w:rFonts w:ascii="Arial" w:hAnsi="Arial" w:cs="Arial"/>
                <w:color w:val="FFFFFF" w:themeColor="background1"/>
                <w:sz w:val="18"/>
                <w:szCs w:val="18"/>
              </w:rPr>
              <w:t xml:space="preserve"> vs. 2021</w:t>
            </w:r>
          </w:p>
        </w:tc>
        <w:tc>
          <w:tcPr>
            <w:tcW w:w="1157" w:type="dxa"/>
            <w:tcBorders>
              <w:top w:val="none" w:sz="0" w:space="0" w:color="auto"/>
              <w:bottom w:val="none" w:sz="0" w:space="0" w:color="auto"/>
            </w:tcBorders>
            <w:shd w:val="clear" w:color="auto" w:fill="17365D" w:themeFill="text2" w:themeFillShade="BF"/>
            <w:vAlign w:val="center"/>
          </w:tcPr>
          <w:p w14:paraId="783F07B7" w14:textId="41FC8CE0" w:rsidR="00334F1A" w:rsidRDefault="00C1288B" w:rsidP="00BE4FAF">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roofErr w:type="spellStart"/>
            <w:r>
              <w:rPr>
                <w:rFonts w:ascii="Arial" w:hAnsi="Arial" w:cs="Arial"/>
                <w:color w:val="FFFFFF" w:themeColor="background1"/>
                <w:sz w:val="18"/>
                <w:szCs w:val="18"/>
              </w:rPr>
              <w:t>l</w:t>
            </w:r>
            <w:r w:rsidR="00334F1A">
              <w:rPr>
                <w:rFonts w:ascii="Arial" w:hAnsi="Arial" w:cs="Arial"/>
                <w:color w:val="FFFFFF" w:themeColor="background1"/>
                <w:sz w:val="18"/>
                <w:szCs w:val="18"/>
              </w:rPr>
              <w:t>bs</w:t>
            </w:r>
            <w:proofErr w:type="spellEnd"/>
            <w:r w:rsidR="00334F1A">
              <w:rPr>
                <w:rFonts w:ascii="Arial" w:hAnsi="Arial" w:cs="Arial"/>
                <w:color w:val="FFFFFF" w:themeColor="background1"/>
                <w:sz w:val="18"/>
                <w:szCs w:val="18"/>
              </w:rPr>
              <w:t xml:space="preserve"> vs. 2020</w:t>
            </w:r>
          </w:p>
        </w:tc>
        <w:tc>
          <w:tcPr>
            <w:tcW w:w="1158" w:type="dxa"/>
            <w:tcBorders>
              <w:top w:val="none" w:sz="0" w:space="0" w:color="auto"/>
              <w:bottom w:val="none" w:sz="0" w:space="0" w:color="auto"/>
            </w:tcBorders>
            <w:shd w:val="clear" w:color="auto" w:fill="17365D" w:themeFill="text2" w:themeFillShade="BF"/>
            <w:vAlign w:val="center"/>
          </w:tcPr>
          <w:p w14:paraId="086D332D" w14:textId="1437E924" w:rsidR="00334F1A" w:rsidRDefault="00C1288B" w:rsidP="00BE4FAF">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roofErr w:type="spellStart"/>
            <w:r>
              <w:rPr>
                <w:rFonts w:ascii="Arial" w:hAnsi="Arial" w:cs="Arial"/>
                <w:color w:val="FFFFFF" w:themeColor="background1"/>
                <w:sz w:val="18"/>
                <w:szCs w:val="18"/>
              </w:rPr>
              <w:t>l</w:t>
            </w:r>
            <w:r w:rsidR="00334F1A">
              <w:rPr>
                <w:rFonts w:ascii="Arial" w:hAnsi="Arial" w:cs="Arial"/>
                <w:color w:val="FFFFFF" w:themeColor="background1"/>
                <w:sz w:val="18"/>
                <w:szCs w:val="18"/>
              </w:rPr>
              <w:t>bs</w:t>
            </w:r>
            <w:proofErr w:type="spellEnd"/>
            <w:r w:rsidR="00334F1A">
              <w:rPr>
                <w:rFonts w:ascii="Arial" w:hAnsi="Arial" w:cs="Arial"/>
                <w:color w:val="FFFFFF" w:themeColor="background1"/>
                <w:sz w:val="18"/>
                <w:szCs w:val="18"/>
              </w:rPr>
              <w:t xml:space="preserve"> vs. 2019</w:t>
            </w:r>
          </w:p>
        </w:tc>
      </w:tr>
      <w:tr w:rsidR="00EC7DB9" w:rsidRPr="00F75B13" w14:paraId="67B54BEB" w14:textId="6050FD64" w:rsidTr="00E67E7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79" w:type="dxa"/>
            <w:vAlign w:val="bottom"/>
          </w:tcPr>
          <w:p w14:paraId="75D668BF" w14:textId="3CBFAAF1" w:rsidR="00EC7DB9" w:rsidRPr="00EC7DB9" w:rsidRDefault="00EC7DB9" w:rsidP="00EC7DB9">
            <w:pPr>
              <w:pStyle w:val="NoSpacing"/>
              <w:jc w:val="right"/>
              <w:rPr>
                <w:rFonts w:ascii="Arial" w:hAnsi="Arial" w:cs="Arial"/>
                <w:b w:val="0"/>
                <w:bCs w:val="0"/>
                <w:color w:val="215868" w:themeColor="accent5" w:themeShade="80"/>
                <w:sz w:val="18"/>
                <w:szCs w:val="18"/>
              </w:rPr>
            </w:pPr>
            <w:r w:rsidRPr="00EC7DB9">
              <w:rPr>
                <w:rFonts w:ascii="Arial" w:hAnsi="Arial" w:cs="Arial"/>
                <w:b w:val="0"/>
                <w:bCs w:val="0"/>
                <w:color w:val="215868" w:themeColor="accent5" w:themeShade="80"/>
                <w:sz w:val="18"/>
                <w:szCs w:val="18"/>
              </w:rPr>
              <w:t>Ground beef</w:t>
            </w:r>
          </w:p>
        </w:tc>
        <w:tc>
          <w:tcPr>
            <w:tcW w:w="1157" w:type="dxa"/>
            <w:vAlign w:val="bottom"/>
          </w:tcPr>
          <w:p w14:paraId="3D7D5EE6" w14:textId="7F599808" w:rsidR="00EC7DB9" w:rsidRPr="00EC7DB9" w:rsidRDefault="00EC7DB9" w:rsidP="00EC7DB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EC7DB9">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951</w:t>
            </w:r>
            <w:r w:rsidR="000A74D9">
              <w:rPr>
                <w:rFonts w:ascii="Arial" w:hAnsi="Arial" w:cs="Arial"/>
                <w:color w:val="215868" w:themeColor="accent5" w:themeShade="80"/>
                <w:sz w:val="18"/>
                <w:szCs w:val="18"/>
              </w:rPr>
              <w:t>M</w:t>
            </w:r>
          </w:p>
        </w:tc>
        <w:tc>
          <w:tcPr>
            <w:tcW w:w="1157" w:type="dxa"/>
            <w:vAlign w:val="bottom"/>
          </w:tcPr>
          <w:p w14:paraId="0DAE6C9C" w14:textId="63BA254B" w:rsidR="00EC7DB9" w:rsidRPr="00EC7DB9" w:rsidRDefault="00EC7DB9" w:rsidP="00EC7D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2.0</w:t>
            </w:r>
            <w:r w:rsidRPr="00EC7DB9">
              <w:rPr>
                <w:rFonts w:ascii="Arial" w:hAnsi="Arial" w:cs="Arial"/>
                <w:color w:val="215868" w:themeColor="accent5" w:themeShade="80"/>
                <w:sz w:val="18"/>
                <w:szCs w:val="18"/>
              </w:rPr>
              <w:t>%</w:t>
            </w:r>
          </w:p>
        </w:tc>
        <w:tc>
          <w:tcPr>
            <w:tcW w:w="1157" w:type="dxa"/>
            <w:vAlign w:val="bottom"/>
          </w:tcPr>
          <w:p w14:paraId="778941FC" w14:textId="6F95FEE7" w:rsidR="00EC7DB9" w:rsidRPr="00EC7DB9" w:rsidRDefault="003A7585" w:rsidP="00EC7D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11.4</w:t>
            </w:r>
            <w:r w:rsidR="00EC7DB9" w:rsidRPr="00EC7DB9">
              <w:rPr>
                <w:rFonts w:ascii="Arial" w:hAnsi="Arial" w:cs="Arial"/>
                <w:color w:val="215868" w:themeColor="accent5" w:themeShade="80"/>
                <w:sz w:val="18"/>
                <w:szCs w:val="18"/>
              </w:rPr>
              <w:t>%</w:t>
            </w:r>
          </w:p>
        </w:tc>
        <w:tc>
          <w:tcPr>
            <w:tcW w:w="1158" w:type="dxa"/>
            <w:vAlign w:val="bottom"/>
          </w:tcPr>
          <w:p w14:paraId="0A383667" w14:textId="75EEB317" w:rsidR="00EC7DB9" w:rsidRPr="00EC7DB9" w:rsidRDefault="00EC7DB9" w:rsidP="00EC7D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25.3</w:t>
            </w:r>
            <w:r w:rsidRPr="00EC7DB9">
              <w:rPr>
                <w:rFonts w:ascii="Arial" w:hAnsi="Arial" w:cs="Arial"/>
                <w:color w:val="215868" w:themeColor="accent5" w:themeShade="80"/>
                <w:sz w:val="18"/>
                <w:szCs w:val="18"/>
              </w:rPr>
              <w:t>%</w:t>
            </w:r>
          </w:p>
        </w:tc>
        <w:tc>
          <w:tcPr>
            <w:tcW w:w="1157" w:type="dxa"/>
            <w:vAlign w:val="bottom"/>
          </w:tcPr>
          <w:p w14:paraId="38ED58B9" w14:textId="1D1E4D78" w:rsidR="00EC7DB9" w:rsidRPr="00EC7DB9" w:rsidRDefault="00EC7DB9" w:rsidP="00EC7D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EC7DB9">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0.1</w:t>
            </w:r>
            <w:r w:rsidRPr="00EC7DB9">
              <w:rPr>
                <w:rFonts w:ascii="Arial" w:hAnsi="Arial" w:cs="Arial"/>
                <w:color w:val="215868" w:themeColor="accent5" w:themeShade="80"/>
                <w:sz w:val="18"/>
                <w:szCs w:val="18"/>
              </w:rPr>
              <w:t>%</w:t>
            </w:r>
          </w:p>
        </w:tc>
        <w:tc>
          <w:tcPr>
            <w:tcW w:w="1157" w:type="dxa"/>
            <w:vAlign w:val="bottom"/>
          </w:tcPr>
          <w:p w14:paraId="20A8C73A" w14:textId="097238E4" w:rsidR="00EC7DB9" w:rsidRPr="00EC7DB9" w:rsidRDefault="003A7585" w:rsidP="00EC7D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5.3</w:t>
            </w:r>
            <w:r w:rsidR="00EC7DB9" w:rsidRPr="00EC7DB9">
              <w:rPr>
                <w:rFonts w:ascii="Arial" w:hAnsi="Arial" w:cs="Arial"/>
                <w:color w:val="215868" w:themeColor="accent5" w:themeShade="80"/>
                <w:sz w:val="18"/>
                <w:szCs w:val="18"/>
              </w:rPr>
              <w:t>%</w:t>
            </w:r>
          </w:p>
        </w:tc>
        <w:tc>
          <w:tcPr>
            <w:tcW w:w="1158" w:type="dxa"/>
            <w:vAlign w:val="bottom"/>
          </w:tcPr>
          <w:p w14:paraId="1E15E070" w14:textId="6F5437C1" w:rsidR="00EC7DB9" w:rsidRPr="00EC7DB9" w:rsidRDefault="00C632A8" w:rsidP="00EC7D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+2.9</w:t>
            </w:r>
            <w:r w:rsidR="00EC7DB9" w:rsidRPr="00EC7DB9">
              <w:rPr>
                <w:rFonts w:ascii="Arial" w:hAnsi="Arial" w:cs="Arial"/>
                <w:color w:val="215868" w:themeColor="accent5" w:themeShade="80"/>
                <w:sz w:val="18"/>
                <w:szCs w:val="18"/>
              </w:rPr>
              <w:t>%</w:t>
            </w:r>
          </w:p>
        </w:tc>
      </w:tr>
      <w:tr w:rsidR="00190B80" w:rsidRPr="00F75B13" w14:paraId="2ECA0A43" w14:textId="77777777" w:rsidTr="00736BE7">
        <w:trPr>
          <w:trHeight w:val="113"/>
        </w:trPr>
        <w:tc>
          <w:tcPr>
            <w:cnfStyle w:val="001000000000" w:firstRow="0" w:lastRow="0" w:firstColumn="1" w:lastColumn="0" w:oddVBand="0" w:evenVBand="0" w:oddHBand="0" w:evenHBand="0" w:firstRowFirstColumn="0" w:firstRowLastColumn="0" w:lastRowFirstColumn="0" w:lastRowLastColumn="0"/>
            <w:tcW w:w="1979" w:type="dxa"/>
            <w:vAlign w:val="bottom"/>
          </w:tcPr>
          <w:p w14:paraId="16C3F308" w14:textId="77777777" w:rsidR="00190B80" w:rsidRPr="00EC7DB9" w:rsidRDefault="00190B80" w:rsidP="00736BE7">
            <w:pPr>
              <w:pStyle w:val="NoSpacing"/>
              <w:jc w:val="right"/>
              <w:rPr>
                <w:rFonts w:ascii="Arial" w:hAnsi="Arial" w:cs="Arial"/>
                <w:b w:val="0"/>
                <w:bCs w:val="0"/>
                <w:color w:val="215868" w:themeColor="accent5" w:themeShade="80"/>
                <w:sz w:val="18"/>
                <w:szCs w:val="18"/>
              </w:rPr>
            </w:pPr>
            <w:r w:rsidRPr="00EC7DB9">
              <w:rPr>
                <w:rFonts w:ascii="Arial" w:hAnsi="Arial" w:cs="Arial"/>
                <w:b w:val="0"/>
                <w:bCs w:val="0"/>
                <w:color w:val="215868" w:themeColor="accent5" w:themeShade="80"/>
                <w:sz w:val="18"/>
                <w:szCs w:val="18"/>
              </w:rPr>
              <w:t>Ground turkey</w:t>
            </w:r>
          </w:p>
        </w:tc>
        <w:tc>
          <w:tcPr>
            <w:tcW w:w="1157" w:type="dxa"/>
            <w:vAlign w:val="bottom"/>
          </w:tcPr>
          <w:p w14:paraId="764F3911" w14:textId="7F364DA9" w:rsidR="00190B80" w:rsidRPr="00EC7DB9" w:rsidRDefault="00190B80"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EC7DB9">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131</w:t>
            </w:r>
            <w:r>
              <w:rPr>
                <w:rFonts w:ascii="Arial" w:hAnsi="Arial" w:cs="Arial"/>
                <w:color w:val="215868" w:themeColor="accent5" w:themeShade="80"/>
                <w:sz w:val="18"/>
                <w:szCs w:val="18"/>
              </w:rPr>
              <w:t>M</w:t>
            </w:r>
          </w:p>
        </w:tc>
        <w:tc>
          <w:tcPr>
            <w:tcW w:w="1157" w:type="dxa"/>
            <w:vAlign w:val="bottom"/>
          </w:tcPr>
          <w:p w14:paraId="584D4619" w14:textId="0F6940F0" w:rsidR="00190B80" w:rsidRPr="00EC7DB9" w:rsidRDefault="003A7585"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15.1</w:t>
            </w:r>
            <w:r w:rsidR="00190B80" w:rsidRPr="00EC7DB9">
              <w:rPr>
                <w:rFonts w:ascii="Arial" w:hAnsi="Arial" w:cs="Arial"/>
                <w:color w:val="215868" w:themeColor="accent5" w:themeShade="80"/>
                <w:sz w:val="18"/>
                <w:szCs w:val="18"/>
              </w:rPr>
              <w:t>%</w:t>
            </w:r>
          </w:p>
        </w:tc>
        <w:tc>
          <w:tcPr>
            <w:tcW w:w="1157" w:type="dxa"/>
            <w:vAlign w:val="bottom"/>
          </w:tcPr>
          <w:p w14:paraId="27870FEA" w14:textId="567617C6" w:rsidR="00190B80" w:rsidRPr="00EC7DB9" w:rsidRDefault="003A7585"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20.3</w:t>
            </w:r>
            <w:r w:rsidR="00190B80" w:rsidRPr="00EC7DB9">
              <w:rPr>
                <w:rFonts w:ascii="Arial" w:hAnsi="Arial" w:cs="Arial"/>
                <w:color w:val="215868" w:themeColor="accent5" w:themeShade="80"/>
                <w:sz w:val="18"/>
                <w:szCs w:val="18"/>
              </w:rPr>
              <w:t>%</w:t>
            </w:r>
          </w:p>
        </w:tc>
        <w:tc>
          <w:tcPr>
            <w:tcW w:w="1158" w:type="dxa"/>
            <w:vAlign w:val="bottom"/>
          </w:tcPr>
          <w:p w14:paraId="037A4DE4" w14:textId="53B6F449" w:rsidR="00190B80" w:rsidRPr="00EC7DB9" w:rsidRDefault="003A7585"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26.9</w:t>
            </w:r>
            <w:r w:rsidR="00190B80" w:rsidRPr="00EC7DB9">
              <w:rPr>
                <w:rFonts w:ascii="Arial" w:hAnsi="Arial" w:cs="Arial"/>
                <w:color w:val="215868" w:themeColor="accent5" w:themeShade="80"/>
                <w:sz w:val="18"/>
                <w:szCs w:val="18"/>
              </w:rPr>
              <w:t>%</w:t>
            </w:r>
          </w:p>
        </w:tc>
        <w:tc>
          <w:tcPr>
            <w:tcW w:w="1157" w:type="dxa"/>
            <w:vAlign w:val="bottom"/>
          </w:tcPr>
          <w:p w14:paraId="060ADB0E" w14:textId="3E93AD0A" w:rsidR="00190B80" w:rsidRPr="00EC7DB9" w:rsidRDefault="003A7585"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5.6</w:t>
            </w:r>
            <w:r w:rsidR="00190B80" w:rsidRPr="00EC7DB9">
              <w:rPr>
                <w:rFonts w:ascii="Arial" w:hAnsi="Arial" w:cs="Arial"/>
                <w:color w:val="215868" w:themeColor="accent5" w:themeShade="80"/>
                <w:sz w:val="18"/>
                <w:szCs w:val="18"/>
              </w:rPr>
              <w:t>%</w:t>
            </w:r>
          </w:p>
        </w:tc>
        <w:tc>
          <w:tcPr>
            <w:tcW w:w="1157" w:type="dxa"/>
            <w:vAlign w:val="bottom"/>
          </w:tcPr>
          <w:p w14:paraId="6982568A" w14:textId="6FD64D35" w:rsidR="00190B80" w:rsidRPr="00EC7DB9" w:rsidRDefault="00190B80"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EC7DB9">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6.8</w:t>
            </w:r>
            <w:r w:rsidRPr="00EC7DB9">
              <w:rPr>
                <w:rFonts w:ascii="Arial" w:hAnsi="Arial" w:cs="Arial"/>
                <w:color w:val="215868" w:themeColor="accent5" w:themeShade="80"/>
                <w:sz w:val="18"/>
                <w:szCs w:val="18"/>
              </w:rPr>
              <w:t>%</w:t>
            </w:r>
          </w:p>
        </w:tc>
        <w:tc>
          <w:tcPr>
            <w:tcW w:w="1158" w:type="dxa"/>
            <w:vAlign w:val="bottom"/>
          </w:tcPr>
          <w:p w14:paraId="483EDDA6" w14:textId="1E826FAE" w:rsidR="00190B80" w:rsidRPr="00EC7DB9" w:rsidRDefault="003A7585"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4.1</w:t>
            </w:r>
            <w:r w:rsidR="00190B80" w:rsidRPr="00EC7DB9">
              <w:rPr>
                <w:rFonts w:ascii="Arial" w:hAnsi="Arial" w:cs="Arial"/>
                <w:color w:val="215868" w:themeColor="accent5" w:themeShade="80"/>
                <w:sz w:val="18"/>
                <w:szCs w:val="18"/>
              </w:rPr>
              <w:t>%</w:t>
            </w:r>
          </w:p>
        </w:tc>
      </w:tr>
      <w:tr w:rsidR="007846E7" w:rsidRPr="00F75B13" w14:paraId="310BE8C2" w14:textId="77777777" w:rsidTr="00736BE7">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79" w:type="dxa"/>
            <w:vAlign w:val="bottom"/>
          </w:tcPr>
          <w:p w14:paraId="6FB701BD" w14:textId="77777777" w:rsidR="007846E7" w:rsidRPr="00EC7DB9" w:rsidRDefault="007846E7" w:rsidP="00736BE7">
            <w:pPr>
              <w:pStyle w:val="NoSpacing"/>
              <w:jc w:val="right"/>
              <w:rPr>
                <w:rFonts w:ascii="Arial" w:hAnsi="Arial" w:cs="Arial"/>
                <w:b w:val="0"/>
                <w:bCs w:val="0"/>
                <w:color w:val="215868" w:themeColor="accent5" w:themeShade="80"/>
                <w:sz w:val="18"/>
                <w:szCs w:val="18"/>
              </w:rPr>
            </w:pPr>
            <w:r w:rsidRPr="00EC7DB9">
              <w:rPr>
                <w:rFonts w:ascii="Arial" w:hAnsi="Arial" w:cs="Arial"/>
                <w:b w:val="0"/>
                <w:bCs w:val="0"/>
                <w:color w:val="215868" w:themeColor="accent5" w:themeShade="80"/>
                <w:sz w:val="18"/>
                <w:szCs w:val="18"/>
              </w:rPr>
              <w:t>Ground chicken</w:t>
            </w:r>
          </w:p>
        </w:tc>
        <w:tc>
          <w:tcPr>
            <w:tcW w:w="1157" w:type="dxa"/>
            <w:vAlign w:val="bottom"/>
          </w:tcPr>
          <w:p w14:paraId="5ACA9962" w14:textId="153C0B8E" w:rsidR="007846E7" w:rsidRPr="00EC7DB9" w:rsidRDefault="007846E7"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EC7DB9">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20</w:t>
            </w:r>
            <w:r>
              <w:rPr>
                <w:rFonts w:ascii="Arial" w:hAnsi="Arial" w:cs="Arial"/>
                <w:color w:val="215868" w:themeColor="accent5" w:themeShade="80"/>
                <w:sz w:val="18"/>
                <w:szCs w:val="18"/>
              </w:rPr>
              <w:t>M</w:t>
            </w:r>
          </w:p>
        </w:tc>
        <w:tc>
          <w:tcPr>
            <w:tcW w:w="1157" w:type="dxa"/>
            <w:vAlign w:val="bottom"/>
          </w:tcPr>
          <w:p w14:paraId="296B29D5" w14:textId="4127B5F9" w:rsidR="007846E7" w:rsidRPr="00EC7DB9" w:rsidRDefault="0024319E"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12.4</w:t>
            </w:r>
            <w:r w:rsidR="007846E7" w:rsidRPr="00EC7DB9">
              <w:rPr>
                <w:rFonts w:ascii="Arial" w:hAnsi="Arial" w:cs="Arial"/>
                <w:color w:val="215868" w:themeColor="accent5" w:themeShade="80"/>
                <w:sz w:val="18"/>
                <w:szCs w:val="18"/>
              </w:rPr>
              <w:t>%</w:t>
            </w:r>
          </w:p>
        </w:tc>
        <w:tc>
          <w:tcPr>
            <w:tcW w:w="1157" w:type="dxa"/>
            <w:vAlign w:val="bottom"/>
          </w:tcPr>
          <w:p w14:paraId="0F309312" w14:textId="07941EF4" w:rsidR="007846E7" w:rsidRPr="00EC7DB9" w:rsidRDefault="0024319E"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19.4</w:t>
            </w:r>
            <w:r w:rsidR="007846E7" w:rsidRPr="00EC7DB9">
              <w:rPr>
                <w:rFonts w:ascii="Arial" w:hAnsi="Arial" w:cs="Arial"/>
                <w:color w:val="215868" w:themeColor="accent5" w:themeShade="80"/>
                <w:sz w:val="18"/>
                <w:szCs w:val="18"/>
              </w:rPr>
              <w:t>%</w:t>
            </w:r>
          </w:p>
        </w:tc>
        <w:tc>
          <w:tcPr>
            <w:tcW w:w="1158" w:type="dxa"/>
            <w:vAlign w:val="bottom"/>
          </w:tcPr>
          <w:p w14:paraId="5586BFFA" w14:textId="0E53DAFA" w:rsidR="007846E7" w:rsidRPr="00EC7DB9" w:rsidRDefault="0024319E"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40.4</w:t>
            </w:r>
            <w:r w:rsidR="007846E7" w:rsidRPr="00EC7DB9">
              <w:rPr>
                <w:rFonts w:ascii="Arial" w:hAnsi="Arial" w:cs="Arial"/>
                <w:color w:val="215868" w:themeColor="accent5" w:themeShade="80"/>
                <w:sz w:val="18"/>
                <w:szCs w:val="18"/>
              </w:rPr>
              <w:t>%</w:t>
            </w:r>
          </w:p>
        </w:tc>
        <w:tc>
          <w:tcPr>
            <w:tcW w:w="1157" w:type="dxa"/>
            <w:vAlign w:val="bottom"/>
          </w:tcPr>
          <w:p w14:paraId="2D7FBAA1" w14:textId="24D6780E" w:rsidR="007846E7" w:rsidRPr="00EC7DB9" w:rsidRDefault="0024319E"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3.4</w:t>
            </w:r>
            <w:r w:rsidR="007846E7" w:rsidRPr="00EC7DB9">
              <w:rPr>
                <w:rFonts w:ascii="Arial" w:hAnsi="Arial" w:cs="Arial"/>
                <w:color w:val="215868" w:themeColor="accent5" w:themeShade="80"/>
                <w:sz w:val="18"/>
                <w:szCs w:val="18"/>
              </w:rPr>
              <w:t>%</w:t>
            </w:r>
          </w:p>
        </w:tc>
        <w:tc>
          <w:tcPr>
            <w:tcW w:w="1157" w:type="dxa"/>
            <w:vAlign w:val="bottom"/>
          </w:tcPr>
          <w:p w14:paraId="1827800B" w14:textId="3EDF32CA" w:rsidR="007846E7" w:rsidRPr="00EC7DB9" w:rsidRDefault="0024319E"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5.3</w:t>
            </w:r>
            <w:r w:rsidR="007846E7" w:rsidRPr="00EC7DB9">
              <w:rPr>
                <w:rFonts w:ascii="Arial" w:hAnsi="Arial" w:cs="Arial"/>
                <w:color w:val="215868" w:themeColor="accent5" w:themeShade="80"/>
                <w:sz w:val="18"/>
                <w:szCs w:val="18"/>
              </w:rPr>
              <w:t>%</w:t>
            </w:r>
          </w:p>
        </w:tc>
        <w:tc>
          <w:tcPr>
            <w:tcW w:w="1158" w:type="dxa"/>
            <w:vAlign w:val="bottom"/>
          </w:tcPr>
          <w:p w14:paraId="3E67D966" w14:textId="6A060B72" w:rsidR="007846E7" w:rsidRPr="00EC7DB9" w:rsidRDefault="0024319E"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22.2</w:t>
            </w:r>
            <w:r w:rsidR="007846E7" w:rsidRPr="00EC7DB9">
              <w:rPr>
                <w:rFonts w:ascii="Arial" w:hAnsi="Arial" w:cs="Arial"/>
                <w:color w:val="215868" w:themeColor="accent5" w:themeShade="80"/>
                <w:sz w:val="18"/>
                <w:szCs w:val="18"/>
              </w:rPr>
              <w:t>%</w:t>
            </w:r>
          </w:p>
        </w:tc>
      </w:tr>
      <w:tr w:rsidR="00190B80" w:rsidRPr="00F75B13" w14:paraId="7904B777" w14:textId="77777777" w:rsidTr="00736BE7">
        <w:trPr>
          <w:trHeight w:val="113"/>
        </w:trPr>
        <w:tc>
          <w:tcPr>
            <w:cnfStyle w:val="001000000000" w:firstRow="0" w:lastRow="0" w:firstColumn="1" w:lastColumn="0" w:oddVBand="0" w:evenVBand="0" w:oddHBand="0" w:evenHBand="0" w:firstRowFirstColumn="0" w:firstRowLastColumn="0" w:lastRowFirstColumn="0" w:lastRowLastColumn="0"/>
            <w:tcW w:w="1979" w:type="dxa"/>
            <w:vAlign w:val="bottom"/>
          </w:tcPr>
          <w:p w14:paraId="356DE32B" w14:textId="77777777" w:rsidR="00190B80" w:rsidRPr="00EC7DB9" w:rsidRDefault="00190B80" w:rsidP="00736BE7">
            <w:pPr>
              <w:pStyle w:val="NoSpacing"/>
              <w:jc w:val="right"/>
              <w:rPr>
                <w:rFonts w:ascii="Arial" w:hAnsi="Arial" w:cs="Arial"/>
                <w:b w:val="0"/>
                <w:bCs w:val="0"/>
                <w:color w:val="215868" w:themeColor="accent5" w:themeShade="80"/>
                <w:sz w:val="18"/>
                <w:szCs w:val="18"/>
              </w:rPr>
            </w:pPr>
            <w:r w:rsidRPr="00EC7DB9">
              <w:rPr>
                <w:rFonts w:ascii="Arial" w:hAnsi="Arial" w:cs="Arial"/>
                <w:b w:val="0"/>
                <w:bCs w:val="0"/>
                <w:color w:val="215868" w:themeColor="accent5" w:themeShade="80"/>
                <w:sz w:val="18"/>
                <w:szCs w:val="18"/>
              </w:rPr>
              <w:t>Ground pork</w:t>
            </w:r>
          </w:p>
        </w:tc>
        <w:tc>
          <w:tcPr>
            <w:tcW w:w="1157" w:type="dxa"/>
            <w:vAlign w:val="bottom"/>
          </w:tcPr>
          <w:p w14:paraId="53B0BE43" w14:textId="374BE538" w:rsidR="00190B80" w:rsidRPr="00EC7DB9" w:rsidRDefault="00190B80"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EC7DB9">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15</w:t>
            </w:r>
            <w:r>
              <w:rPr>
                <w:rFonts w:ascii="Arial" w:hAnsi="Arial" w:cs="Arial"/>
                <w:color w:val="215868" w:themeColor="accent5" w:themeShade="80"/>
                <w:sz w:val="18"/>
                <w:szCs w:val="18"/>
              </w:rPr>
              <w:t>M</w:t>
            </w:r>
          </w:p>
        </w:tc>
        <w:tc>
          <w:tcPr>
            <w:tcW w:w="1157" w:type="dxa"/>
            <w:vAlign w:val="bottom"/>
          </w:tcPr>
          <w:p w14:paraId="3E8001C8" w14:textId="48918A82" w:rsidR="00190B80" w:rsidRPr="00EC7DB9" w:rsidRDefault="003A7585"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8.0</w:t>
            </w:r>
            <w:r w:rsidR="00190B80" w:rsidRPr="00EC7DB9">
              <w:rPr>
                <w:rFonts w:ascii="Arial" w:hAnsi="Arial" w:cs="Arial"/>
                <w:color w:val="215868" w:themeColor="accent5" w:themeShade="80"/>
                <w:sz w:val="18"/>
                <w:szCs w:val="18"/>
              </w:rPr>
              <w:t>%</w:t>
            </w:r>
          </w:p>
        </w:tc>
        <w:tc>
          <w:tcPr>
            <w:tcW w:w="1157" w:type="dxa"/>
            <w:vAlign w:val="bottom"/>
          </w:tcPr>
          <w:p w14:paraId="4FD12FA5" w14:textId="7F2566DE" w:rsidR="00190B80" w:rsidRPr="00EC7DB9" w:rsidRDefault="003A7585"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19.6</w:t>
            </w:r>
            <w:r w:rsidR="00190B80" w:rsidRPr="00EC7DB9">
              <w:rPr>
                <w:rFonts w:ascii="Arial" w:hAnsi="Arial" w:cs="Arial"/>
                <w:color w:val="215868" w:themeColor="accent5" w:themeShade="80"/>
                <w:sz w:val="18"/>
                <w:szCs w:val="18"/>
              </w:rPr>
              <w:t>%</w:t>
            </w:r>
          </w:p>
        </w:tc>
        <w:tc>
          <w:tcPr>
            <w:tcW w:w="1158" w:type="dxa"/>
            <w:vAlign w:val="bottom"/>
          </w:tcPr>
          <w:p w14:paraId="271DAC8D" w14:textId="2CE310CF" w:rsidR="00190B80" w:rsidRPr="00EC7DB9" w:rsidRDefault="003A7585"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32.8</w:t>
            </w:r>
            <w:r w:rsidR="00190B80" w:rsidRPr="00EC7DB9">
              <w:rPr>
                <w:rFonts w:ascii="Arial" w:hAnsi="Arial" w:cs="Arial"/>
                <w:color w:val="215868" w:themeColor="accent5" w:themeShade="80"/>
                <w:sz w:val="18"/>
                <w:szCs w:val="18"/>
              </w:rPr>
              <w:t>%</w:t>
            </w:r>
          </w:p>
        </w:tc>
        <w:tc>
          <w:tcPr>
            <w:tcW w:w="1157" w:type="dxa"/>
            <w:vAlign w:val="bottom"/>
          </w:tcPr>
          <w:p w14:paraId="38716E5F" w14:textId="5E530459" w:rsidR="00190B80" w:rsidRPr="00EC7DB9" w:rsidRDefault="003A7585"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10.6</w:t>
            </w:r>
            <w:r w:rsidR="00190B80" w:rsidRPr="00EC7DB9">
              <w:rPr>
                <w:rFonts w:ascii="Arial" w:hAnsi="Arial" w:cs="Arial"/>
                <w:color w:val="215868" w:themeColor="accent5" w:themeShade="80"/>
                <w:sz w:val="18"/>
                <w:szCs w:val="18"/>
              </w:rPr>
              <w:t>%</w:t>
            </w:r>
          </w:p>
        </w:tc>
        <w:tc>
          <w:tcPr>
            <w:tcW w:w="1157" w:type="dxa"/>
            <w:vAlign w:val="bottom"/>
          </w:tcPr>
          <w:p w14:paraId="72A4017C" w14:textId="2C651FD6" w:rsidR="00190B80" w:rsidRPr="00EC7DB9" w:rsidRDefault="003A7585"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11.2</w:t>
            </w:r>
            <w:r w:rsidR="00190B80" w:rsidRPr="00EC7DB9">
              <w:rPr>
                <w:rFonts w:ascii="Arial" w:hAnsi="Arial" w:cs="Arial"/>
                <w:color w:val="215868" w:themeColor="accent5" w:themeShade="80"/>
                <w:sz w:val="18"/>
                <w:szCs w:val="18"/>
              </w:rPr>
              <w:t>%</w:t>
            </w:r>
          </w:p>
        </w:tc>
        <w:tc>
          <w:tcPr>
            <w:tcW w:w="1158" w:type="dxa"/>
            <w:vAlign w:val="bottom"/>
          </w:tcPr>
          <w:p w14:paraId="18D9DD1F" w14:textId="30C5EF00" w:rsidR="00190B80" w:rsidRPr="00EC7DB9" w:rsidRDefault="003A7585"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22.1</w:t>
            </w:r>
            <w:r w:rsidR="00190B80" w:rsidRPr="00EC7DB9">
              <w:rPr>
                <w:rFonts w:ascii="Arial" w:hAnsi="Arial" w:cs="Arial"/>
                <w:color w:val="215868" w:themeColor="accent5" w:themeShade="80"/>
                <w:sz w:val="18"/>
                <w:szCs w:val="18"/>
              </w:rPr>
              <w:t>%</w:t>
            </w:r>
          </w:p>
        </w:tc>
      </w:tr>
      <w:tr w:rsidR="007846E7" w:rsidRPr="00F75B13" w14:paraId="51D884F2" w14:textId="77777777" w:rsidTr="00736BE7">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79" w:type="dxa"/>
            <w:vAlign w:val="bottom"/>
          </w:tcPr>
          <w:p w14:paraId="4B50FB64" w14:textId="77777777" w:rsidR="007846E7" w:rsidRPr="00EC7DB9" w:rsidRDefault="007846E7" w:rsidP="00736BE7">
            <w:pPr>
              <w:pStyle w:val="NoSpacing"/>
              <w:jc w:val="right"/>
              <w:rPr>
                <w:rFonts w:ascii="Arial" w:hAnsi="Arial" w:cs="Arial"/>
                <w:b w:val="0"/>
                <w:bCs w:val="0"/>
                <w:color w:val="215868" w:themeColor="accent5" w:themeShade="80"/>
                <w:sz w:val="18"/>
                <w:szCs w:val="18"/>
              </w:rPr>
            </w:pPr>
            <w:r w:rsidRPr="00EC7DB9">
              <w:rPr>
                <w:rFonts w:ascii="Arial" w:hAnsi="Arial" w:cs="Arial"/>
                <w:b w:val="0"/>
                <w:bCs w:val="0"/>
                <w:color w:val="215868" w:themeColor="accent5" w:themeShade="80"/>
                <w:sz w:val="18"/>
                <w:szCs w:val="18"/>
              </w:rPr>
              <w:t>Ground lamb</w:t>
            </w:r>
          </w:p>
        </w:tc>
        <w:tc>
          <w:tcPr>
            <w:tcW w:w="1157" w:type="dxa"/>
            <w:vAlign w:val="bottom"/>
          </w:tcPr>
          <w:p w14:paraId="7CC91640" w14:textId="64448D15" w:rsidR="007846E7" w:rsidRPr="00EC7DB9" w:rsidRDefault="007846E7"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EC7DB9">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3</w:t>
            </w:r>
            <w:r>
              <w:rPr>
                <w:rFonts w:ascii="Arial" w:hAnsi="Arial" w:cs="Arial"/>
                <w:color w:val="215868" w:themeColor="accent5" w:themeShade="80"/>
                <w:sz w:val="18"/>
                <w:szCs w:val="18"/>
              </w:rPr>
              <w:t>M</w:t>
            </w:r>
          </w:p>
        </w:tc>
        <w:tc>
          <w:tcPr>
            <w:tcW w:w="1157" w:type="dxa"/>
            <w:vAlign w:val="bottom"/>
          </w:tcPr>
          <w:p w14:paraId="49678531" w14:textId="20D921E8" w:rsidR="007846E7" w:rsidRPr="00EC7DB9" w:rsidRDefault="00B054A2"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9.8</w:t>
            </w:r>
            <w:r w:rsidR="007846E7" w:rsidRPr="00EC7DB9">
              <w:rPr>
                <w:rFonts w:ascii="Arial" w:hAnsi="Arial" w:cs="Arial"/>
                <w:color w:val="215868" w:themeColor="accent5" w:themeShade="80"/>
                <w:sz w:val="18"/>
                <w:szCs w:val="18"/>
              </w:rPr>
              <w:t>%</w:t>
            </w:r>
          </w:p>
        </w:tc>
        <w:tc>
          <w:tcPr>
            <w:tcW w:w="1157" w:type="dxa"/>
            <w:vAlign w:val="bottom"/>
          </w:tcPr>
          <w:p w14:paraId="236D9107" w14:textId="2E66B803" w:rsidR="007846E7" w:rsidRPr="00EC7DB9" w:rsidRDefault="00B054A2"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3.0</w:t>
            </w:r>
            <w:r w:rsidR="007846E7" w:rsidRPr="00EC7DB9">
              <w:rPr>
                <w:rFonts w:ascii="Arial" w:hAnsi="Arial" w:cs="Arial"/>
                <w:color w:val="215868" w:themeColor="accent5" w:themeShade="80"/>
                <w:sz w:val="18"/>
                <w:szCs w:val="18"/>
              </w:rPr>
              <w:t>%</w:t>
            </w:r>
          </w:p>
        </w:tc>
        <w:tc>
          <w:tcPr>
            <w:tcW w:w="1158" w:type="dxa"/>
            <w:vAlign w:val="bottom"/>
          </w:tcPr>
          <w:p w14:paraId="3D61866B" w14:textId="3CF13BA5" w:rsidR="007846E7" w:rsidRPr="00EC7DB9" w:rsidRDefault="0024319E"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43.6</w:t>
            </w:r>
            <w:r w:rsidR="007846E7" w:rsidRPr="00EC7DB9">
              <w:rPr>
                <w:rFonts w:ascii="Arial" w:hAnsi="Arial" w:cs="Arial"/>
                <w:color w:val="215868" w:themeColor="accent5" w:themeShade="80"/>
                <w:sz w:val="18"/>
                <w:szCs w:val="18"/>
              </w:rPr>
              <w:t>%</w:t>
            </w:r>
          </w:p>
        </w:tc>
        <w:tc>
          <w:tcPr>
            <w:tcW w:w="1157" w:type="dxa"/>
            <w:vAlign w:val="bottom"/>
          </w:tcPr>
          <w:p w14:paraId="616E9EA5" w14:textId="4A1064E9" w:rsidR="007846E7" w:rsidRPr="00EC7DB9" w:rsidRDefault="00B054A2"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3.6</w:t>
            </w:r>
            <w:r w:rsidR="007846E7" w:rsidRPr="00EC7DB9">
              <w:rPr>
                <w:rFonts w:ascii="Arial" w:hAnsi="Arial" w:cs="Arial"/>
                <w:color w:val="215868" w:themeColor="accent5" w:themeShade="80"/>
                <w:sz w:val="18"/>
                <w:szCs w:val="18"/>
              </w:rPr>
              <w:t>%</w:t>
            </w:r>
          </w:p>
        </w:tc>
        <w:tc>
          <w:tcPr>
            <w:tcW w:w="1157" w:type="dxa"/>
            <w:vAlign w:val="bottom"/>
          </w:tcPr>
          <w:p w14:paraId="6BC90FBB" w14:textId="3E1A9B00" w:rsidR="007846E7" w:rsidRPr="00EC7DB9" w:rsidRDefault="007846E7"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EC7DB9">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13.1</w:t>
            </w:r>
            <w:r w:rsidRPr="00EC7DB9">
              <w:rPr>
                <w:rFonts w:ascii="Arial" w:hAnsi="Arial" w:cs="Arial"/>
                <w:color w:val="215868" w:themeColor="accent5" w:themeShade="80"/>
                <w:sz w:val="18"/>
                <w:szCs w:val="18"/>
              </w:rPr>
              <w:t>%</w:t>
            </w:r>
          </w:p>
        </w:tc>
        <w:tc>
          <w:tcPr>
            <w:tcW w:w="1158" w:type="dxa"/>
            <w:vAlign w:val="bottom"/>
          </w:tcPr>
          <w:p w14:paraId="1B6D7970" w14:textId="7861BDE6" w:rsidR="007846E7" w:rsidRPr="00EC7DB9" w:rsidRDefault="0024319E" w:rsidP="00736B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22.1</w:t>
            </w:r>
            <w:r w:rsidR="007846E7" w:rsidRPr="00EC7DB9">
              <w:rPr>
                <w:rFonts w:ascii="Arial" w:hAnsi="Arial" w:cs="Arial"/>
                <w:color w:val="215868" w:themeColor="accent5" w:themeShade="80"/>
                <w:sz w:val="18"/>
                <w:szCs w:val="18"/>
              </w:rPr>
              <w:t>%</w:t>
            </w:r>
          </w:p>
        </w:tc>
      </w:tr>
      <w:tr w:rsidR="007846E7" w:rsidRPr="00F75B13" w14:paraId="4CD17EF2" w14:textId="77777777" w:rsidTr="00736BE7">
        <w:trPr>
          <w:trHeight w:val="113"/>
        </w:trPr>
        <w:tc>
          <w:tcPr>
            <w:cnfStyle w:val="001000000000" w:firstRow="0" w:lastRow="0" w:firstColumn="1" w:lastColumn="0" w:oddVBand="0" w:evenVBand="0" w:oddHBand="0" w:evenHBand="0" w:firstRowFirstColumn="0" w:firstRowLastColumn="0" w:lastRowFirstColumn="0" w:lastRowLastColumn="0"/>
            <w:tcW w:w="1979" w:type="dxa"/>
            <w:vAlign w:val="bottom"/>
          </w:tcPr>
          <w:p w14:paraId="55743CD7" w14:textId="77777777" w:rsidR="007846E7" w:rsidRPr="00EC7DB9" w:rsidRDefault="007846E7" w:rsidP="00736BE7">
            <w:pPr>
              <w:pStyle w:val="NoSpacing"/>
              <w:jc w:val="right"/>
              <w:rPr>
                <w:rFonts w:ascii="Arial" w:hAnsi="Arial" w:cs="Arial"/>
                <w:b w:val="0"/>
                <w:bCs w:val="0"/>
                <w:color w:val="215868" w:themeColor="accent5" w:themeShade="80"/>
                <w:sz w:val="18"/>
                <w:szCs w:val="18"/>
              </w:rPr>
            </w:pPr>
            <w:r w:rsidRPr="00EC7DB9">
              <w:rPr>
                <w:rFonts w:ascii="Arial" w:hAnsi="Arial" w:cs="Arial"/>
                <w:b w:val="0"/>
                <w:bCs w:val="0"/>
                <w:color w:val="215868" w:themeColor="accent5" w:themeShade="80"/>
                <w:sz w:val="18"/>
                <w:szCs w:val="18"/>
              </w:rPr>
              <w:t>Ground veal</w:t>
            </w:r>
          </w:p>
        </w:tc>
        <w:tc>
          <w:tcPr>
            <w:tcW w:w="1157" w:type="dxa"/>
            <w:vAlign w:val="bottom"/>
          </w:tcPr>
          <w:p w14:paraId="674EE4D6" w14:textId="3A907733" w:rsidR="007846E7" w:rsidRPr="00EC7DB9" w:rsidRDefault="007846E7"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EC7DB9">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0.8</w:t>
            </w:r>
            <w:r>
              <w:rPr>
                <w:rFonts w:ascii="Arial" w:hAnsi="Arial" w:cs="Arial"/>
                <w:color w:val="215868" w:themeColor="accent5" w:themeShade="80"/>
                <w:sz w:val="18"/>
                <w:szCs w:val="18"/>
              </w:rPr>
              <w:t>M</w:t>
            </w:r>
          </w:p>
        </w:tc>
        <w:tc>
          <w:tcPr>
            <w:tcW w:w="1157" w:type="dxa"/>
            <w:vAlign w:val="bottom"/>
          </w:tcPr>
          <w:p w14:paraId="58ADD2B0" w14:textId="27DD5D1B" w:rsidR="007846E7" w:rsidRPr="00EC7DB9" w:rsidRDefault="007846E7"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EC7DB9">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10.6</w:t>
            </w:r>
            <w:r w:rsidRPr="00EC7DB9">
              <w:rPr>
                <w:rFonts w:ascii="Arial" w:hAnsi="Arial" w:cs="Arial"/>
                <w:color w:val="215868" w:themeColor="accent5" w:themeShade="80"/>
                <w:sz w:val="18"/>
                <w:szCs w:val="18"/>
              </w:rPr>
              <w:t>%</w:t>
            </w:r>
          </w:p>
        </w:tc>
        <w:tc>
          <w:tcPr>
            <w:tcW w:w="1157" w:type="dxa"/>
            <w:vAlign w:val="bottom"/>
          </w:tcPr>
          <w:p w14:paraId="1F7887D3" w14:textId="0A43FC9F" w:rsidR="007846E7" w:rsidRPr="00EC7DB9" w:rsidRDefault="007846E7"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EC7DB9">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16.8</w:t>
            </w:r>
            <w:r w:rsidRPr="00EC7DB9">
              <w:rPr>
                <w:rFonts w:ascii="Arial" w:hAnsi="Arial" w:cs="Arial"/>
                <w:color w:val="215868" w:themeColor="accent5" w:themeShade="80"/>
                <w:sz w:val="18"/>
                <w:szCs w:val="18"/>
              </w:rPr>
              <w:t>%</w:t>
            </w:r>
          </w:p>
        </w:tc>
        <w:tc>
          <w:tcPr>
            <w:tcW w:w="1158" w:type="dxa"/>
            <w:vAlign w:val="bottom"/>
          </w:tcPr>
          <w:p w14:paraId="6DFF73FB" w14:textId="0DE7619F" w:rsidR="007846E7" w:rsidRPr="00EC7DB9" w:rsidRDefault="0024319E"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4.5</w:t>
            </w:r>
            <w:r w:rsidR="007846E7" w:rsidRPr="00EC7DB9">
              <w:rPr>
                <w:rFonts w:ascii="Arial" w:hAnsi="Arial" w:cs="Arial"/>
                <w:color w:val="215868" w:themeColor="accent5" w:themeShade="80"/>
                <w:sz w:val="18"/>
                <w:szCs w:val="18"/>
              </w:rPr>
              <w:t>%</w:t>
            </w:r>
          </w:p>
        </w:tc>
        <w:tc>
          <w:tcPr>
            <w:tcW w:w="1157" w:type="dxa"/>
            <w:vAlign w:val="bottom"/>
          </w:tcPr>
          <w:p w14:paraId="7C114536" w14:textId="23AFE7AF" w:rsidR="007846E7" w:rsidRPr="00EC7DB9" w:rsidRDefault="007846E7"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EC7DB9">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15.7</w:t>
            </w:r>
            <w:r w:rsidRPr="00EC7DB9">
              <w:rPr>
                <w:rFonts w:ascii="Arial" w:hAnsi="Arial" w:cs="Arial"/>
                <w:color w:val="215868" w:themeColor="accent5" w:themeShade="80"/>
                <w:sz w:val="18"/>
                <w:szCs w:val="18"/>
              </w:rPr>
              <w:t>%</w:t>
            </w:r>
          </w:p>
        </w:tc>
        <w:tc>
          <w:tcPr>
            <w:tcW w:w="1157" w:type="dxa"/>
            <w:vAlign w:val="bottom"/>
          </w:tcPr>
          <w:p w14:paraId="3D993183" w14:textId="3EF56F8B" w:rsidR="007846E7" w:rsidRPr="00EC7DB9" w:rsidRDefault="007846E7"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EC7DB9">
              <w:rPr>
                <w:rFonts w:ascii="Arial" w:hAnsi="Arial" w:cs="Arial"/>
                <w:color w:val="215868" w:themeColor="accent5" w:themeShade="80"/>
                <w:sz w:val="18"/>
                <w:szCs w:val="18"/>
              </w:rPr>
              <w:t>-</w:t>
            </w:r>
            <w:r w:rsidR="00C632A8">
              <w:rPr>
                <w:rFonts w:ascii="Arial" w:hAnsi="Arial" w:cs="Arial"/>
                <w:color w:val="215868" w:themeColor="accent5" w:themeShade="80"/>
                <w:sz w:val="18"/>
                <w:szCs w:val="18"/>
              </w:rPr>
              <w:t>20.1</w:t>
            </w:r>
            <w:r w:rsidRPr="00EC7DB9">
              <w:rPr>
                <w:rFonts w:ascii="Arial" w:hAnsi="Arial" w:cs="Arial"/>
                <w:color w:val="215868" w:themeColor="accent5" w:themeShade="80"/>
                <w:sz w:val="18"/>
                <w:szCs w:val="18"/>
              </w:rPr>
              <w:t>%</w:t>
            </w:r>
          </w:p>
        </w:tc>
        <w:tc>
          <w:tcPr>
            <w:tcW w:w="1158" w:type="dxa"/>
            <w:vAlign w:val="bottom"/>
          </w:tcPr>
          <w:p w14:paraId="390D4309" w14:textId="25553DAE" w:rsidR="007846E7" w:rsidRPr="00EC7DB9" w:rsidRDefault="00C632A8" w:rsidP="00736B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-5.4</w:t>
            </w:r>
            <w:r w:rsidR="007846E7" w:rsidRPr="00EC7DB9">
              <w:rPr>
                <w:rFonts w:ascii="Arial" w:hAnsi="Arial" w:cs="Arial"/>
                <w:color w:val="215868" w:themeColor="accent5" w:themeShade="80"/>
                <w:sz w:val="18"/>
                <w:szCs w:val="18"/>
              </w:rPr>
              <w:t>%</w:t>
            </w:r>
          </w:p>
        </w:tc>
      </w:tr>
    </w:tbl>
    <w:p w14:paraId="78C9C012" w14:textId="4CA2C0DA" w:rsidR="008916F6" w:rsidRPr="0027199D" w:rsidRDefault="008916F6" w:rsidP="008916F6">
      <w:pPr>
        <w:pStyle w:val="NoSpacing"/>
        <w:rPr>
          <w:rFonts w:ascii="Arial" w:hAnsi="Arial" w:cs="Arial"/>
          <w:sz w:val="4"/>
          <w:szCs w:val="10"/>
        </w:rPr>
      </w:pPr>
    </w:p>
    <w:p w14:paraId="6EDA657A" w14:textId="77777777" w:rsidR="008916F6" w:rsidRDefault="008916F6" w:rsidP="008916F6">
      <w:pPr>
        <w:pStyle w:val="NoSpacing"/>
        <w:rPr>
          <w:rFonts w:ascii="Arial" w:hAnsi="Arial" w:cs="Arial"/>
          <w:sz w:val="16"/>
          <w:szCs w:val="16"/>
        </w:rPr>
      </w:pPr>
      <w:r w:rsidRPr="006879B2">
        <w:rPr>
          <w:rFonts w:ascii="Arial" w:hAnsi="Arial" w:cs="Arial"/>
          <w:sz w:val="16"/>
          <w:szCs w:val="16"/>
        </w:rPr>
        <w:t>Sour</w:t>
      </w:r>
      <w:r>
        <w:rPr>
          <w:rFonts w:ascii="Arial" w:hAnsi="Arial" w:cs="Arial"/>
          <w:sz w:val="16"/>
          <w:szCs w:val="16"/>
        </w:rPr>
        <w:t>ce: IRI, Integrated Fresh, Total US, MULO</w:t>
      </w:r>
    </w:p>
    <w:p w14:paraId="4B73EBBC" w14:textId="77777777" w:rsidR="00F44177" w:rsidRDefault="00F44177" w:rsidP="00F44177">
      <w:pPr>
        <w:pStyle w:val="NoSpacing"/>
        <w:rPr>
          <w:rFonts w:ascii="Arial" w:hAnsi="Arial" w:cs="Arial"/>
          <w:b/>
          <w:color w:val="595959" w:themeColor="text1" w:themeTint="A6"/>
          <w:sz w:val="24"/>
          <w:szCs w:val="24"/>
        </w:rPr>
      </w:pPr>
    </w:p>
    <w:p w14:paraId="1BEE6117" w14:textId="77777777" w:rsidR="00C5240F" w:rsidRDefault="00C5240F" w:rsidP="00F738D1">
      <w:pPr>
        <w:pStyle w:val="NoSpacing"/>
        <w:rPr>
          <w:rFonts w:ascii="Arial" w:hAnsi="Arial" w:cs="Arial"/>
          <w:b/>
          <w:color w:val="595959" w:themeColor="text1" w:themeTint="A6"/>
          <w:sz w:val="24"/>
          <w:szCs w:val="24"/>
        </w:rPr>
      </w:pPr>
      <w:bookmarkStart w:id="4" w:name="_Hlk79236872"/>
    </w:p>
    <w:p w14:paraId="3DF048F7" w14:textId="4C19FC3C" w:rsidR="00F738D1" w:rsidRDefault="00F738D1" w:rsidP="00F738D1">
      <w:pPr>
        <w:pStyle w:val="NoSpacing"/>
        <w:rPr>
          <w:rFonts w:ascii="Arial" w:hAnsi="Arial" w:cs="Arial"/>
          <w:b/>
          <w:color w:val="595959" w:themeColor="text1" w:themeTint="A6"/>
          <w:sz w:val="24"/>
          <w:szCs w:val="24"/>
        </w:rPr>
      </w:pPr>
      <w:r w:rsidRPr="00706DE2">
        <w:rPr>
          <w:rFonts w:ascii="Arial" w:hAnsi="Arial" w:cs="Arial"/>
          <w:b/>
          <w:color w:val="595959" w:themeColor="text1" w:themeTint="A6"/>
          <w:sz w:val="24"/>
          <w:szCs w:val="24"/>
        </w:rPr>
        <w:t xml:space="preserve">What’s </w:t>
      </w:r>
      <w:r>
        <w:rPr>
          <w:rFonts w:ascii="Arial" w:hAnsi="Arial" w:cs="Arial"/>
          <w:b/>
          <w:color w:val="595959" w:themeColor="text1" w:themeTint="A6"/>
          <w:sz w:val="24"/>
          <w:szCs w:val="24"/>
        </w:rPr>
        <w:t>N</w:t>
      </w:r>
      <w:r w:rsidRPr="00706DE2">
        <w:rPr>
          <w:rFonts w:ascii="Arial" w:hAnsi="Arial" w:cs="Arial"/>
          <w:b/>
          <w:color w:val="595959" w:themeColor="text1" w:themeTint="A6"/>
          <w:sz w:val="24"/>
          <w:szCs w:val="24"/>
        </w:rPr>
        <w:t xml:space="preserve">ext? </w:t>
      </w:r>
    </w:p>
    <w:p w14:paraId="34409498" w14:textId="0F81F6AE" w:rsidR="00C632A8" w:rsidRDefault="00C632A8" w:rsidP="00C632A8">
      <w:pPr>
        <w:pStyle w:val="NoSpacing"/>
        <w:rPr>
          <w:rFonts w:ascii="Arial" w:hAnsi="Arial" w:cs="Arial"/>
          <w:color w:val="000000" w:themeColor="text1"/>
          <w:sz w:val="20"/>
          <w:szCs w:val="20"/>
        </w:rPr>
      </w:pPr>
      <w:bookmarkStart w:id="5" w:name="_Hlk116298250"/>
      <w:bookmarkStart w:id="6" w:name="_Hlk116291245"/>
      <w:r>
        <w:rPr>
          <w:rFonts w:ascii="Arial" w:hAnsi="Arial" w:cs="Arial"/>
          <w:color w:val="000000" w:themeColor="text1"/>
          <w:sz w:val="20"/>
          <w:szCs w:val="20"/>
        </w:rPr>
        <w:t xml:space="preserve">In 2020 and early 2021, American’s total credit card debt and average savings rates saw vast improvements. According to the Fed, credit card balances peaked at $927 billion in the fourth quarter of 2019, followed by five consecutive quarters of decreases as the COVID-19 pandemic set in. Credit card debt bottomed out at $770 billion in the first quarter of 2021. </w:t>
      </w:r>
      <w:bookmarkEnd w:id="5"/>
      <w:r>
        <w:rPr>
          <w:rFonts w:ascii="Arial" w:hAnsi="Arial" w:cs="Arial"/>
          <w:color w:val="000000" w:themeColor="text1"/>
          <w:sz w:val="20"/>
          <w:szCs w:val="20"/>
        </w:rPr>
        <w:t>Since then, credit card balances have risen to $856 billion, just 7.7% below the all-time record. Expectations based on the trend lines are that credit card debt will reach a new high in the next few months. This is particularly important in the light of the Federal Reserve having raised the prime rate several times this year in an effort to dampen inflation.</w:t>
      </w:r>
    </w:p>
    <w:p w14:paraId="2C915493" w14:textId="77777777" w:rsidR="00C632A8" w:rsidRDefault="00C632A8" w:rsidP="00C632A8">
      <w:pPr>
        <w:pStyle w:val="NoSpacing"/>
        <w:rPr>
          <w:rFonts w:ascii="Arial" w:hAnsi="Arial" w:cs="Arial"/>
          <w:color w:val="000000" w:themeColor="text1"/>
          <w:sz w:val="20"/>
          <w:szCs w:val="20"/>
        </w:rPr>
      </w:pPr>
    </w:p>
    <w:p w14:paraId="5E665E92" w14:textId="01D34E5F" w:rsidR="00C632A8" w:rsidRDefault="00C632A8" w:rsidP="00C632A8">
      <w:pPr>
        <w:pStyle w:val="NoSpacing"/>
        <w:rPr>
          <w:rFonts w:ascii="Arial" w:hAnsi="Arial" w:cs="Arial"/>
          <w:color w:val="000000" w:themeColor="text1"/>
          <w:sz w:val="20"/>
          <w:szCs w:val="20"/>
        </w:rPr>
      </w:pPr>
      <w:r>
        <w:rPr>
          <w:rFonts w:ascii="Arial" w:hAnsi="Arial" w:cs="Arial"/>
          <w:color w:val="000000" w:themeColor="text1"/>
          <w:sz w:val="20"/>
          <w:szCs w:val="20"/>
        </w:rPr>
        <w:t xml:space="preserve">At the same time, the National Savings Rate has fallen far below pre-pandemic levels, according to the Bureau of Economic Analysis. In August 2022, the average U.S. savings rate as a percentage of disposable income was 3.5% — about half that of the pre-pandemic average. Unlike the early months of the pandemic, that means consumers have been subsidizing income with credit cards or have less income left after paying taxes and spending on essentials in the light of the 40-year high inflation. </w:t>
      </w:r>
    </w:p>
    <w:p w14:paraId="1846F8B5" w14:textId="77777777" w:rsidR="00C632A8" w:rsidRDefault="00C632A8" w:rsidP="00C632A8">
      <w:pPr>
        <w:pStyle w:val="NoSpacing"/>
        <w:rPr>
          <w:rFonts w:ascii="Arial" w:hAnsi="Arial" w:cs="Arial"/>
          <w:color w:val="000000" w:themeColor="text1"/>
          <w:sz w:val="20"/>
          <w:szCs w:val="20"/>
        </w:rPr>
      </w:pPr>
    </w:p>
    <w:p w14:paraId="61D7C3C3" w14:textId="1186FC54" w:rsidR="00C632A8" w:rsidRDefault="00C632A8" w:rsidP="00C632A8">
      <w:pPr>
        <w:pStyle w:val="NoSpacing"/>
        <w:rPr>
          <w:rFonts w:ascii="Arial" w:hAnsi="Arial" w:cs="Arial"/>
          <w:color w:val="000000" w:themeColor="text1"/>
          <w:sz w:val="20"/>
          <w:szCs w:val="20"/>
        </w:rPr>
      </w:pPr>
      <w:r>
        <w:rPr>
          <w:rFonts w:ascii="Arial" w:hAnsi="Arial" w:cs="Arial"/>
          <w:color w:val="000000" w:themeColor="text1"/>
          <w:sz w:val="20"/>
          <w:szCs w:val="20"/>
        </w:rPr>
        <w:t xml:space="preserve">The marketplace is impacting consumer sentiment. The University of Michigan Consumer Sentiment (UMSCENT) dropped 20% versus year ago to its lowest levels in many decades, at 51.5, with an index of 100 being neutral. </w:t>
      </w:r>
    </w:p>
    <w:p w14:paraId="2D7E088D" w14:textId="77777777" w:rsidR="00C632A8" w:rsidRDefault="00C632A8" w:rsidP="00C632A8">
      <w:pPr>
        <w:pStyle w:val="NoSpacing"/>
        <w:rPr>
          <w:rFonts w:ascii="Arial" w:hAnsi="Arial" w:cs="Arial"/>
          <w:color w:val="000000" w:themeColor="text1"/>
          <w:sz w:val="20"/>
          <w:szCs w:val="20"/>
        </w:rPr>
      </w:pPr>
    </w:p>
    <w:p w14:paraId="571AD499" w14:textId="77777777" w:rsidR="00C632A8" w:rsidRDefault="00C632A8" w:rsidP="00C632A8">
      <w:pPr>
        <w:pStyle w:val="NoSpacing"/>
        <w:rPr>
          <w:rFonts w:ascii="Arial" w:hAnsi="Arial" w:cs="Arial"/>
          <w:color w:val="000000" w:themeColor="text1"/>
          <w:sz w:val="20"/>
          <w:szCs w:val="20"/>
        </w:rPr>
      </w:pPr>
      <w:r>
        <w:rPr>
          <w:rFonts w:ascii="Arial" w:hAnsi="Arial" w:cs="Arial"/>
          <w:color w:val="000000" w:themeColor="text1"/>
          <w:sz w:val="20"/>
          <w:szCs w:val="20"/>
        </w:rPr>
        <w:t xml:space="preserve">In totality, consumers are reacting with a pullback on units and volume to manage their spending. But at the same time, baskets still contain items focused on value, convenience and premiumization rather than consumers shopping on price alone. </w:t>
      </w:r>
    </w:p>
    <w:p w14:paraId="3B5AE772" w14:textId="77777777" w:rsidR="00C632A8" w:rsidRDefault="00C632A8" w:rsidP="00C632A8">
      <w:pPr>
        <w:pStyle w:val="NoSpacing"/>
        <w:rPr>
          <w:rFonts w:ascii="Arial" w:hAnsi="Arial" w:cs="Arial"/>
          <w:color w:val="000000" w:themeColor="text1"/>
          <w:sz w:val="20"/>
          <w:szCs w:val="20"/>
        </w:rPr>
      </w:pPr>
    </w:p>
    <w:p w14:paraId="296DCF8A" w14:textId="77777777" w:rsidR="00C632A8" w:rsidRDefault="00C632A8" w:rsidP="00C632A8">
      <w:pPr>
        <w:pStyle w:val="NoSpacing"/>
        <w:rPr>
          <w:rFonts w:ascii="Arial" w:hAnsi="Arial" w:cs="Arial"/>
          <w:color w:val="000000" w:themeColor="text1"/>
          <w:sz w:val="20"/>
          <w:szCs w:val="20"/>
        </w:rPr>
      </w:pPr>
      <w:r>
        <w:rPr>
          <w:rFonts w:ascii="Arial" w:hAnsi="Arial" w:cs="Arial"/>
          <w:color w:val="000000" w:themeColor="text1"/>
          <w:sz w:val="20"/>
          <w:szCs w:val="20"/>
        </w:rPr>
        <w:lastRenderedPageBreak/>
        <w:t>These patterns are likely to persist as inflationary pressure remains extremely high. The September IRI survey found that:</w:t>
      </w:r>
    </w:p>
    <w:p w14:paraId="74BFB3C7" w14:textId="77777777" w:rsidR="00C632A8" w:rsidRDefault="00C632A8" w:rsidP="00C632A8">
      <w:pPr>
        <w:pStyle w:val="NoSpacing"/>
        <w:numPr>
          <w:ilvl w:val="0"/>
          <w:numId w:val="40"/>
        </w:numPr>
        <w:rPr>
          <w:rFonts w:ascii="Arial" w:hAnsi="Arial" w:cs="Arial"/>
          <w:sz w:val="20"/>
          <w:szCs w:val="20"/>
        </w:rPr>
      </w:pPr>
      <w:r>
        <w:rPr>
          <w:rFonts w:ascii="Arial" w:hAnsi="Arial" w:cs="Arial"/>
          <w:sz w:val="20"/>
          <w:szCs w:val="20"/>
        </w:rPr>
        <w:t xml:space="preserve">44% of Americans say their financial situation is a little or a lot worse off than a year ago. </w:t>
      </w:r>
    </w:p>
    <w:p w14:paraId="7960C08A" w14:textId="77777777" w:rsidR="00C632A8" w:rsidRDefault="00C632A8" w:rsidP="00C632A8">
      <w:pPr>
        <w:pStyle w:val="NoSpacing"/>
        <w:numPr>
          <w:ilvl w:val="0"/>
          <w:numId w:val="40"/>
        </w:numPr>
        <w:rPr>
          <w:rFonts w:ascii="Arial" w:hAnsi="Arial" w:cs="Arial"/>
          <w:sz w:val="20"/>
          <w:szCs w:val="20"/>
        </w:rPr>
      </w:pPr>
      <w:r>
        <w:rPr>
          <w:rFonts w:ascii="Arial" w:hAnsi="Arial" w:cs="Arial"/>
          <w:sz w:val="20"/>
          <w:szCs w:val="20"/>
        </w:rPr>
        <w:t xml:space="preserve">27% of Americans do expect their financial situation to be better one year from now. </w:t>
      </w:r>
    </w:p>
    <w:bookmarkEnd w:id="6"/>
    <w:p w14:paraId="0FC77A07" w14:textId="77777777" w:rsidR="00C632A8" w:rsidRDefault="00C632A8" w:rsidP="00C632A8">
      <w:pPr>
        <w:pStyle w:val="NoSpacing"/>
        <w:rPr>
          <w:rFonts w:ascii="Arial" w:hAnsi="Arial" w:cs="Arial"/>
          <w:color w:val="000000" w:themeColor="text1"/>
          <w:sz w:val="20"/>
          <w:szCs w:val="20"/>
        </w:rPr>
      </w:pPr>
    </w:p>
    <w:p w14:paraId="4B4182C3" w14:textId="4B2E2E3B" w:rsidR="000A3830" w:rsidRPr="00A52516" w:rsidRDefault="000A3830" w:rsidP="000A3830">
      <w:pPr>
        <w:pStyle w:val="NoSpacing"/>
        <w:rPr>
          <w:rFonts w:ascii="Arial" w:hAnsi="Arial" w:cs="Arial"/>
          <w:sz w:val="20"/>
          <w:szCs w:val="20"/>
        </w:rPr>
      </w:pPr>
      <w:r w:rsidRPr="00A52516">
        <w:rPr>
          <w:rFonts w:ascii="Arial" w:hAnsi="Arial" w:cs="Arial"/>
          <w:sz w:val="20"/>
          <w:szCs w:val="20"/>
        </w:rPr>
        <w:t xml:space="preserve">The next performance report in the IRI, 210 Analytics and </w:t>
      </w:r>
      <w:hyperlink r:id="rId14" w:history="1">
        <w:proofErr w:type="spellStart"/>
        <w:r w:rsidRPr="00A52516">
          <w:rPr>
            <w:rStyle w:val="Hyperlink"/>
            <w:rFonts w:ascii="Arial" w:hAnsi="Arial" w:cs="Arial"/>
            <w:sz w:val="20"/>
            <w:szCs w:val="20"/>
          </w:rPr>
          <w:t>Marriner</w:t>
        </w:r>
        <w:proofErr w:type="spellEnd"/>
        <w:r w:rsidRPr="00A52516">
          <w:rPr>
            <w:rStyle w:val="Hyperlink"/>
            <w:rFonts w:ascii="Arial" w:hAnsi="Arial" w:cs="Arial"/>
            <w:sz w:val="20"/>
            <w:szCs w:val="20"/>
          </w:rPr>
          <w:t xml:space="preserve"> Marketing</w:t>
        </w:r>
      </w:hyperlink>
      <w:r w:rsidRPr="00A52516">
        <w:rPr>
          <w:rFonts w:ascii="Arial" w:hAnsi="Arial" w:cs="Arial"/>
          <w:sz w:val="20"/>
          <w:szCs w:val="20"/>
        </w:rPr>
        <w:t xml:space="preserve"> series will be released mid-</w:t>
      </w:r>
      <w:r w:rsidR="00C632A8">
        <w:rPr>
          <w:rFonts w:ascii="Arial" w:hAnsi="Arial" w:cs="Arial"/>
          <w:sz w:val="20"/>
          <w:szCs w:val="20"/>
        </w:rPr>
        <w:t>November</w:t>
      </w:r>
      <w:r w:rsidR="002548AB">
        <w:rPr>
          <w:rFonts w:ascii="Arial" w:hAnsi="Arial" w:cs="Arial"/>
          <w:sz w:val="20"/>
          <w:szCs w:val="20"/>
        </w:rPr>
        <w:t xml:space="preserve"> </w:t>
      </w:r>
      <w:r w:rsidRPr="00A52516">
        <w:rPr>
          <w:rFonts w:ascii="Arial" w:hAnsi="Arial" w:cs="Arial"/>
          <w:sz w:val="20"/>
          <w:szCs w:val="20"/>
        </w:rPr>
        <w:t xml:space="preserve">to cover the </w:t>
      </w:r>
      <w:r w:rsidR="00C632A8">
        <w:rPr>
          <w:rFonts w:ascii="Arial" w:hAnsi="Arial" w:cs="Arial"/>
          <w:sz w:val="20"/>
          <w:szCs w:val="20"/>
        </w:rPr>
        <w:t xml:space="preserve">October </w:t>
      </w:r>
      <w:r w:rsidRPr="00A52516">
        <w:rPr>
          <w:rFonts w:ascii="Arial" w:hAnsi="Arial" w:cs="Arial"/>
          <w:sz w:val="20"/>
          <w:szCs w:val="20"/>
        </w:rPr>
        <w:t>sales trends</w:t>
      </w:r>
      <w:r>
        <w:rPr>
          <w:rFonts w:ascii="Arial" w:hAnsi="Arial" w:cs="Arial"/>
          <w:sz w:val="20"/>
          <w:szCs w:val="20"/>
        </w:rPr>
        <w:t xml:space="preserve">. </w:t>
      </w:r>
    </w:p>
    <w:p w14:paraId="44025706" w14:textId="77777777" w:rsidR="000A3830" w:rsidRDefault="000A3830" w:rsidP="000A3830">
      <w:pPr>
        <w:pStyle w:val="NoSpacing"/>
        <w:rPr>
          <w:rFonts w:ascii="Arial" w:hAnsi="Arial" w:cs="Arial"/>
          <w:sz w:val="20"/>
          <w:szCs w:val="20"/>
        </w:rPr>
      </w:pPr>
    </w:p>
    <w:bookmarkEnd w:id="4"/>
    <w:p w14:paraId="356D29DF" w14:textId="77777777" w:rsidR="00DF4436" w:rsidRPr="00A52516" w:rsidRDefault="004B4BCB" w:rsidP="009D4CC4">
      <w:pPr>
        <w:pStyle w:val="NoSpacing"/>
        <w:rPr>
          <w:rFonts w:ascii="Arial" w:hAnsi="Arial" w:cs="Arial"/>
          <w:sz w:val="20"/>
          <w:szCs w:val="20"/>
        </w:rPr>
      </w:pPr>
      <w:r w:rsidRPr="00A52516">
        <w:rPr>
          <w:rFonts w:ascii="Arial" w:hAnsi="Arial" w:cs="Arial"/>
          <w:sz w:val="20"/>
          <w:szCs w:val="20"/>
        </w:rPr>
        <w:t>P</w:t>
      </w:r>
      <w:r w:rsidR="00AC0BE9" w:rsidRPr="00A52516">
        <w:rPr>
          <w:rFonts w:ascii="Arial" w:hAnsi="Arial" w:cs="Arial"/>
          <w:sz w:val="20"/>
          <w:szCs w:val="20"/>
        </w:rPr>
        <w:t xml:space="preserve">lease thank </w:t>
      </w:r>
      <w:r w:rsidR="003D236E" w:rsidRPr="00A52516">
        <w:rPr>
          <w:rFonts w:ascii="Arial" w:hAnsi="Arial" w:cs="Arial"/>
          <w:sz w:val="20"/>
          <w:szCs w:val="20"/>
        </w:rPr>
        <w:t>the entire meat and poultry industry, from farm to store</w:t>
      </w:r>
      <w:r w:rsidR="00B235AA" w:rsidRPr="00A52516">
        <w:rPr>
          <w:rFonts w:ascii="Arial" w:hAnsi="Arial" w:cs="Arial"/>
          <w:sz w:val="20"/>
          <w:szCs w:val="20"/>
        </w:rPr>
        <w:t>,</w:t>
      </w:r>
      <w:r w:rsidR="00C55EA1" w:rsidRPr="00A52516">
        <w:rPr>
          <w:rFonts w:ascii="Arial" w:hAnsi="Arial" w:cs="Arial"/>
          <w:sz w:val="20"/>
          <w:szCs w:val="20"/>
        </w:rPr>
        <w:t xml:space="preserve"> for all they do</w:t>
      </w:r>
      <w:r w:rsidR="00DF4436" w:rsidRPr="00A52516">
        <w:rPr>
          <w:rFonts w:ascii="Arial" w:hAnsi="Arial" w:cs="Arial"/>
          <w:sz w:val="20"/>
          <w:szCs w:val="20"/>
        </w:rPr>
        <w:t>.</w:t>
      </w:r>
    </w:p>
    <w:p w14:paraId="37EC0D3B" w14:textId="77777777" w:rsidR="007C3A4F" w:rsidRDefault="00DF4436" w:rsidP="009D4CC4">
      <w:pPr>
        <w:pStyle w:val="NoSpacing"/>
        <w:rPr>
          <w:rFonts w:ascii="Arial" w:hAnsi="Arial" w:cs="Arial"/>
          <w:sz w:val="20"/>
          <w:szCs w:val="20"/>
        </w:rPr>
      </w:pPr>
      <w:r>
        <w:rPr>
          <w:rFonts w:ascii="Arial" w:hAnsi="Arial" w:cs="Arial"/>
          <w:sz w:val="20"/>
          <w:szCs w:val="20"/>
        </w:rPr>
        <w:t xml:space="preserve"> </w:t>
      </w:r>
    </w:p>
    <w:p w14:paraId="65F77D14" w14:textId="77777777" w:rsidR="000A5C0C" w:rsidRPr="00DE633B" w:rsidRDefault="000A5C0C" w:rsidP="000A5C0C">
      <w:pPr>
        <w:pStyle w:val="NoSpacing"/>
        <w:rPr>
          <w:rFonts w:ascii="Arial" w:hAnsi="Arial" w:cs="Arial"/>
          <w:b/>
          <w:sz w:val="20"/>
          <w:szCs w:val="20"/>
        </w:rPr>
      </w:pPr>
      <w:r w:rsidRPr="00DE633B">
        <w:rPr>
          <w:rFonts w:ascii="Arial" w:hAnsi="Arial" w:cs="Arial"/>
          <w:b/>
          <w:sz w:val="20"/>
          <w:szCs w:val="20"/>
        </w:rPr>
        <w:t xml:space="preserve">Date ranges: </w:t>
      </w:r>
    </w:p>
    <w:p w14:paraId="628645C6" w14:textId="77777777" w:rsidR="000A5C0C" w:rsidRDefault="000A5C0C" w:rsidP="000A5C0C">
      <w:pPr>
        <w:pStyle w:val="NoSpacing"/>
        <w:rPr>
          <w:rFonts w:ascii="Arial" w:hAnsi="Arial" w:cs="Arial"/>
          <w:sz w:val="20"/>
          <w:szCs w:val="20"/>
        </w:rPr>
      </w:pPr>
      <w:r>
        <w:rPr>
          <w:rFonts w:ascii="Arial" w:hAnsi="Arial" w:cs="Arial"/>
          <w:sz w:val="20"/>
          <w:szCs w:val="20"/>
        </w:rPr>
        <w:t>2019: 52 weeks ending 12/28/2019</w:t>
      </w:r>
    </w:p>
    <w:p w14:paraId="542FB124" w14:textId="77777777" w:rsidR="000A5C0C" w:rsidRDefault="000A5C0C" w:rsidP="000A5C0C">
      <w:pPr>
        <w:pStyle w:val="NoSpacing"/>
        <w:rPr>
          <w:rFonts w:ascii="Arial" w:hAnsi="Arial" w:cs="Arial"/>
          <w:sz w:val="20"/>
          <w:szCs w:val="20"/>
        </w:rPr>
      </w:pPr>
      <w:r>
        <w:rPr>
          <w:rFonts w:ascii="Arial" w:hAnsi="Arial" w:cs="Arial"/>
          <w:sz w:val="20"/>
          <w:szCs w:val="20"/>
        </w:rPr>
        <w:t>2020: 52 weeks ending 12/27/2020</w:t>
      </w:r>
    </w:p>
    <w:p w14:paraId="44ABA7B7" w14:textId="77777777" w:rsidR="000A5C0C" w:rsidRDefault="000A5C0C" w:rsidP="000A5C0C">
      <w:pPr>
        <w:pStyle w:val="NoSpacing"/>
        <w:rPr>
          <w:rFonts w:ascii="Arial" w:hAnsi="Arial" w:cs="Arial"/>
          <w:sz w:val="20"/>
          <w:szCs w:val="20"/>
        </w:rPr>
      </w:pPr>
      <w:r>
        <w:rPr>
          <w:rFonts w:ascii="Arial" w:hAnsi="Arial" w:cs="Arial"/>
          <w:sz w:val="20"/>
          <w:szCs w:val="20"/>
        </w:rPr>
        <w:t>Q1 2021: 13 weeks ending 3/28/2021</w:t>
      </w:r>
    </w:p>
    <w:p w14:paraId="084DF811" w14:textId="77777777" w:rsidR="000A5C0C" w:rsidRDefault="000A5C0C" w:rsidP="000A5C0C">
      <w:pPr>
        <w:pStyle w:val="NoSpacing"/>
        <w:rPr>
          <w:rFonts w:ascii="Arial" w:hAnsi="Arial" w:cs="Arial"/>
          <w:sz w:val="20"/>
          <w:szCs w:val="20"/>
        </w:rPr>
      </w:pPr>
      <w:r>
        <w:rPr>
          <w:rFonts w:ascii="Arial" w:hAnsi="Arial" w:cs="Arial"/>
          <w:sz w:val="20"/>
          <w:szCs w:val="20"/>
        </w:rPr>
        <w:t>Q2 2021: 13 weeks ending 6/27/2021</w:t>
      </w:r>
    </w:p>
    <w:p w14:paraId="32325CD3" w14:textId="77777777" w:rsidR="000A5C0C" w:rsidRDefault="000A5C0C" w:rsidP="000A5C0C">
      <w:pPr>
        <w:pStyle w:val="NoSpacing"/>
        <w:rPr>
          <w:rFonts w:ascii="Arial" w:hAnsi="Arial" w:cs="Arial"/>
          <w:sz w:val="20"/>
          <w:szCs w:val="20"/>
        </w:rPr>
      </w:pPr>
      <w:r>
        <w:rPr>
          <w:rFonts w:ascii="Arial" w:hAnsi="Arial" w:cs="Arial"/>
          <w:sz w:val="20"/>
          <w:szCs w:val="20"/>
        </w:rPr>
        <w:t>Q3 2021: 13 weeks ending 9/26/2021</w:t>
      </w:r>
    </w:p>
    <w:p w14:paraId="511FCA6A" w14:textId="77777777" w:rsidR="000A5C0C" w:rsidRDefault="000A5C0C" w:rsidP="000A5C0C">
      <w:pPr>
        <w:pStyle w:val="NoSpacing"/>
        <w:rPr>
          <w:rFonts w:ascii="Arial" w:hAnsi="Arial" w:cs="Arial"/>
          <w:sz w:val="20"/>
          <w:szCs w:val="20"/>
        </w:rPr>
      </w:pPr>
      <w:r>
        <w:rPr>
          <w:rFonts w:ascii="Arial" w:hAnsi="Arial" w:cs="Arial"/>
          <w:sz w:val="20"/>
          <w:szCs w:val="20"/>
        </w:rPr>
        <w:t>Q4 2021: 13 weeks ending 12/26/2021</w:t>
      </w:r>
    </w:p>
    <w:p w14:paraId="4BA53473" w14:textId="77777777" w:rsidR="000A5C0C" w:rsidRDefault="000A5C0C" w:rsidP="000A5C0C">
      <w:pPr>
        <w:pStyle w:val="NoSpacing"/>
        <w:rPr>
          <w:rFonts w:ascii="Arial" w:hAnsi="Arial" w:cs="Arial"/>
          <w:sz w:val="20"/>
          <w:szCs w:val="20"/>
        </w:rPr>
      </w:pPr>
      <w:r>
        <w:rPr>
          <w:rFonts w:ascii="Arial" w:hAnsi="Arial" w:cs="Arial"/>
          <w:sz w:val="20"/>
          <w:szCs w:val="20"/>
        </w:rPr>
        <w:t>Q1 2022: 13 weeks ending 3/27/2022</w:t>
      </w:r>
    </w:p>
    <w:p w14:paraId="1BDA07DB" w14:textId="6C096B84" w:rsidR="000A5C0C" w:rsidRDefault="00B054A2" w:rsidP="000A5C0C">
      <w:pPr>
        <w:pStyle w:val="NoSpacing"/>
        <w:rPr>
          <w:rFonts w:ascii="Arial" w:hAnsi="Arial" w:cs="Arial"/>
          <w:sz w:val="20"/>
          <w:szCs w:val="20"/>
        </w:rPr>
      </w:pPr>
      <w:r>
        <w:rPr>
          <w:rFonts w:ascii="Arial" w:hAnsi="Arial" w:cs="Arial"/>
          <w:sz w:val="20"/>
          <w:szCs w:val="20"/>
        </w:rPr>
        <w:t xml:space="preserve">Q2 2022: </w:t>
      </w:r>
      <w:r w:rsidR="000A5C0C">
        <w:rPr>
          <w:rFonts w:ascii="Arial" w:hAnsi="Arial" w:cs="Arial"/>
          <w:sz w:val="20"/>
          <w:szCs w:val="20"/>
        </w:rPr>
        <w:t>13 weeks ending 6/26/2022</w:t>
      </w:r>
    </w:p>
    <w:p w14:paraId="5ACCD0E0" w14:textId="766D063B" w:rsidR="00B054A2" w:rsidRDefault="00B054A2" w:rsidP="000A5C0C">
      <w:pPr>
        <w:pStyle w:val="NoSpacing"/>
        <w:rPr>
          <w:rFonts w:ascii="Arial" w:hAnsi="Arial" w:cs="Arial"/>
          <w:sz w:val="20"/>
          <w:szCs w:val="20"/>
        </w:rPr>
      </w:pPr>
      <w:r>
        <w:rPr>
          <w:rFonts w:ascii="Arial" w:hAnsi="Arial" w:cs="Arial"/>
          <w:sz w:val="20"/>
          <w:szCs w:val="20"/>
        </w:rPr>
        <w:t xml:space="preserve">Q3 2022: 13 weeks ending 9/25/2022 </w:t>
      </w:r>
    </w:p>
    <w:p w14:paraId="7F4C9F98" w14:textId="28CF8AB7" w:rsidR="00263921" w:rsidRPr="003346E3" w:rsidRDefault="00B054A2" w:rsidP="000A5C0C">
      <w:pPr>
        <w:pStyle w:val="NoSpacing"/>
        <w:rPr>
          <w:rFonts w:ascii="Arial" w:hAnsi="Arial" w:cs="Arial"/>
          <w:sz w:val="20"/>
          <w:szCs w:val="20"/>
        </w:rPr>
      </w:pPr>
      <w:r>
        <w:rPr>
          <w:rFonts w:ascii="Arial" w:hAnsi="Arial" w:cs="Arial"/>
          <w:sz w:val="20"/>
          <w:szCs w:val="20"/>
        </w:rPr>
        <w:t>September</w:t>
      </w:r>
      <w:r w:rsidR="0014076B">
        <w:rPr>
          <w:rFonts w:ascii="Arial" w:hAnsi="Arial" w:cs="Arial"/>
          <w:sz w:val="20"/>
          <w:szCs w:val="20"/>
        </w:rPr>
        <w:t xml:space="preserve"> 2022</w:t>
      </w:r>
      <w:r>
        <w:rPr>
          <w:rFonts w:ascii="Arial" w:hAnsi="Arial" w:cs="Arial"/>
          <w:sz w:val="20"/>
          <w:szCs w:val="20"/>
        </w:rPr>
        <w:t>: 4 weeks ending 9/25</w:t>
      </w:r>
      <w:r w:rsidR="00263921">
        <w:rPr>
          <w:rFonts w:ascii="Arial" w:hAnsi="Arial" w:cs="Arial"/>
          <w:sz w:val="20"/>
          <w:szCs w:val="20"/>
        </w:rPr>
        <w:t>/2022</w:t>
      </w:r>
    </w:p>
    <w:p w14:paraId="07CA1BC5" w14:textId="34F995E0" w:rsidR="00661D36" w:rsidRPr="006879B2" w:rsidRDefault="00661D36" w:rsidP="000A5C0C">
      <w:pPr>
        <w:pStyle w:val="NoSpacing"/>
        <w:rPr>
          <w:rFonts w:ascii="Arial" w:hAnsi="Arial" w:cs="Arial"/>
          <w:sz w:val="20"/>
          <w:szCs w:val="20"/>
        </w:rPr>
      </w:pPr>
    </w:p>
    <w:sectPr w:rsidR="00661D36" w:rsidRPr="006879B2" w:rsidSect="00827753">
      <w:headerReference w:type="default" r:id="rId15"/>
      <w:footerReference w:type="default" r:id="rId16"/>
      <w:pgSz w:w="12240" w:h="15840"/>
      <w:pgMar w:top="1418" w:right="1041" w:bottom="851" w:left="1134" w:header="708" w:footer="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1409" w14:textId="77777777" w:rsidR="00543E01" w:rsidRDefault="00543E01" w:rsidP="00030F05">
      <w:pPr>
        <w:spacing w:after="0" w:line="240" w:lineRule="auto"/>
      </w:pPr>
      <w:r>
        <w:separator/>
      </w:r>
    </w:p>
  </w:endnote>
  <w:endnote w:type="continuationSeparator" w:id="0">
    <w:p w14:paraId="73655280" w14:textId="77777777" w:rsidR="00543E01" w:rsidRDefault="00543E01" w:rsidP="0003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4B2E" w14:textId="3B891160" w:rsidR="00A11196" w:rsidRPr="001C4C48" w:rsidRDefault="00A11196" w:rsidP="00030F05">
    <w:pPr>
      <w:spacing w:before="68" w:after="71" w:line="210" w:lineRule="atLeast"/>
      <w:rPr>
        <w:rFonts w:ascii="Verdana" w:hAnsi="Verdana" w:cs="Times New Roman"/>
        <w:color w:val="000000" w:themeColor="text1"/>
        <w:sz w:val="14"/>
        <w:szCs w:val="14"/>
      </w:rPr>
    </w:pPr>
    <w:r>
      <w:rPr>
        <w:noProof/>
        <w:lang w:val="nl-NL" w:eastAsia="nl-NL"/>
      </w:rPr>
      <mc:AlternateContent>
        <mc:Choice Requires="wps">
          <w:drawing>
            <wp:anchor distT="0" distB="0" distL="114300" distR="114300" simplePos="0" relativeHeight="251663360" behindDoc="0" locked="0" layoutInCell="1" allowOverlap="1" wp14:anchorId="0D2F9935" wp14:editId="0E7F0FAD">
              <wp:simplePos x="0" y="0"/>
              <wp:positionH relativeFrom="page">
                <wp:posOffset>457200</wp:posOffset>
              </wp:positionH>
              <wp:positionV relativeFrom="paragraph">
                <wp:posOffset>148590</wp:posOffset>
              </wp:positionV>
              <wp:extent cx="6858000" cy="20320"/>
              <wp:effectExtent l="0" t="0" r="0" b="177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20320"/>
                      </a:xfrm>
                      <a:prstGeom prst="line">
                        <a:avLst/>
                      </a:prstGeom>
                      <a:noFill/>
                      <a:ln w="9525">
                        <a:solidFill>
                          <a:srgbClr val="4F81BD"/>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78520A28"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6pt,11.7pt" to="8in,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" strokecolor="#4f81bd">
              <o:lock v:ext="edit" shapetype="f"/>
              <w10:wrap anchorx="page"/>
            </v:line>
          </w:pict>
        </mc:Fallback>
      </mc:AlternateContent>
    </w:r>
  </w:p>
  <w:p w14:paraId="451A12FB" w14:textId="0C322574" w:rsidR="00A11196" w:rsidRPr="00F11F9B" w:rsidRDefault="00A11196" w:rsidP="00030F05">
    <w:pPr>
      <w:pStyle w:val="NoSpacing"/>
      <w:rPr>
        <w:color w:val="000000" w:themeColor="text1"/>
        <w:sz w:val="16"/>
      </w:rPr>
    </w:pPr>
    <w:r>
      <w:rPr>
        <w:noProof/>
        <w:lang w:val="nl-NL" w:eastAsia="nl-NL"/>
      </w:rPr>
      <mc:AlternateContent>
        <mc:Choice Requires="wps">
          <w:drawing>
            <wp:anchor distT="0" distB="0" distL="114300" distR="114300" simplePos="0" relativeHeight="251662336" behindDoc="0" locked="0" layoutInCell="1" allowOverlap="1" wp14:anchorId="76153049" wp14:editId="2E8DACFD">
              <wp:simplePos x="0" y="0"/>
              <wp:positionH relativeFrom="page">
                <wp:posOffset>5035550</wp:posOffset>
              </wp:positionH>
              <wp:positionV relativeFrom="page">
                <wp:posOffset>9556750</wp:posOffset>
              </wp:positionV>
              <wp:extent cx="2359025" cy="3473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347345"/>
                      </a:xfrm>
                      <a:prstGeom prst="rect">
                        <a:avLst/>
                      </a:prstGeom>
                      <a:noFill/>
                      <a:ln>
                        <a:noFill/>
                      </a:ln>
                    </wps:spPr>
                    <wps:txbx>
                      <w:txbxContent>
                        <w:p w14:paraId="6B98ACDF" w14:textId="0C95B3F0" w:rsidR="00A11196" w:rsidRPr="002E71F7" w:rsidRDefault="00A11196" w:rsidP="00030F05">
                          <w:pPr>
                            <w:jc w:val="right"/>
                            <w:rPr>
                              <w:rFonts w:ascii="Arial" w:hAnsi="Arial" w:cs="Arial"/>
                              <w:color w:val="000000" w:themeColor="text1"/>
                              <w:sz w:val="14"/>
                              <w:szCs w:val="14"/>
                            </w:rPr>
                          </w:pPr>
                          <w:r w:rsidRPr="002E71F7">
                            <w:rPr>
                              <w:rFonts w:ascii="Arial" w:hAnsi="Arial" w:cs="Arial"/>
                              <w:color w:val="000000" w:themeColor="text1"/>
                              <w:sz w:val="14"/>
                              <w:szCs w:val="14"/>
                            </w:rPr>
                            <w:t>Copyright © 202</w:t>
                          </w:r>
                          <w:r>
                            <w:rPr>
                              <w:rFonts w:ascii="Arial" w:hAnsi="Arial" w:cs="Arial"/>
                              <w:color w:val="000000" w:themeColor="text1"/>
                              <w:sz w:val="14"/>
                              <w:szCs w:val="14"/>
                            </w:rPr>
                            <w:t>2</w:t>
                          </w:r>
                          <w:r w:rsidRPr="002E71F7">
                            <w:rPr>
                              <w:rFonts w:ascii="Arial" w:hAnsi="Arial" w:cs="Arial"/>
                              <w:color w:val="000000" w:themeColor="text1"/>
                              <w:sz w:val="14"/>
                              <w:szCs w:val="14"/>
                            </w:rPr>
                            <w:t xml:space="preserve"> </w:t>
                          </w:r>
                          <w:r>
                            <w:rPr>
                              <w:rFonts w:ascii="Arial" w:hAnsi="Arial" w:cs="Arial"/>
                              <w:color w:val="000000" w:themeColor="text1"/>
                              <w:sz w:val="14"/>
                              <w:szCs w:val="14"/>
                            </w:rPr>
                            <w:t xml:space="preserve">210 Analytics LLC and </w:t>
                          </w:r>
                          <w:r>
                            <w:rPr>
                              <w:rFonts w:ascii="Arial" w:hAnsi="Arial" w:cs="Arial"/>
                              <w:color w:val="000000" w:themeColor="text1"/>
                              <w:sz w:val="14"/>
                              <w:szCs w:val="14"/>
                            </w:rPr>
                            <w:br/>
                          </w:r>
                          <w:r w:rsidRPr="002E71F7">
                            <w:rPr>
                              <w:rFonts w:ascii="Arial" w:hAnsi="Arial" w:cs="Arial"/>
                              <w:color w:val="000000" w:themeColor="text1"/>
                              <w:sz w:val="14"/>
                              <w:szCs w:val="14"/>
                            </w:rPr>
                            <w:t>Information Resources, Inc. (IRI)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153049" id="_x0000_t202" coordsize="21600,21600" o:spt="202" path="m,l,21600r21600,l21600,xe">
              <v:stroke joinstyle="miter"/>
              <v:path gradientshapeok="t" o:connecttype="rect"/>
            </v:shapetype>
            <v:shape id="Text Box 3" o:spid="_x0000_s1026" type="#_x0000_t202" style="position:absolute;margin-left:396.5pt;margin-top:752.5pt;width:185.75pt;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" filled="f" stroked="f">
              <v:textbox>
                <w:txbxContent>
                  <w:p w14:paraId="6B98ACDF" w14:textId="0C95B3F0" w:rsidR="00736BE7" w:rsidRPr="002E71F7" w:rsidRDefault="00736BE7" w:rsidP="00030F05">
                    <w:pPr>
                      <w:jc w:val="right"/>
                      <w:rPr>
                        <w:rFonts w:ascii="Arial" w:hAnsi="Arial" w:cs="Arial"/>
                        <w:color w:val="000000" w:themeColor="text1"/>
                        <w:sz w:val="14"/>
                        <w:szCs w:val="14"/>
                      </w:rPr>
                    </w:pPr>
                    <w:r w:rsidRPr="002E71F7">
                      <w:rPr>
                        <w:rFonts w:ascii="Arial" w:hAnsi="Arial" w:cs="Arial"/>
                        <w:color w:val="000000" w:themeColor="text1"/>
                        <w:sz w:val="14"/>
                        <w:szCs w:val="14"/>
                      </w:rPr>
                      <w:t>Copyright © 202</w:t>
                    </w:r>
                    <w:r>
                      <w:rPr>
                        <w:rFonts w:ascii="Arial" w:hAnsi="Arial" w:cs="Arial"/>
                        <w:color w:val="000000" w:themeColor="text1"/>
                        <w:sz w:val="14"/>
                        <w:szCs w:val="14"/>
                      </w:rPr>
                      <w:t>2</w:t>
                    </w:r>
                    <w:r w:rsidRPr="002E71F7">
                      <w:rPr>
                        <w:rFonts w:ascii="Arial" w:hAnsi="Arial" w:cs="Arial"/>
                        <w:color w:val="000000" w:themeColor="text1"/>
                        <w:sz w:val="14"/>
                        <w:szCs w:val="14"/>
                      </w:rPr>
                      <w:t xml:space="preserve"> </w:t>
                    </w:r>
                    <w:r>
                      <w:rPr>
                        <w:rFonts w:ascii="Arial" w:hAnsi="Arial" w:cs="Arial"/>
                        <w:color w:val="000000" w:themeColor="text1"/>
                        <w:sz w:val="14"/>
                        <w:szCs w:val="14"/>
                      </w:rPr>
                      <w:t xml:space="preserve">210 Analytics LLC and </w:t>
                    </w:r>
                    <w:r>
                      <w:rPr>
                        <w:rFonts w:ascii="Arial" w:hAnsi="Arial" w:cs="Arial"/>
                        <w:color w:val="000000" w:themeColor="text1"/>
                        <w:sz w:val="14"/>
                        <w:szCs w:val="14"/>
                      </w:rPr>
                      <w:br/>
                    </w:r>
                    <w:r w:rsidRPr="002E71F7">
                      <w:rPr>
                        <w:rFonts w:ascii="Arial" w:hAnsi="Arial" w:cs="Arial"/>
                        <w:color w:val="000000" w:themeColor="text1"/>
                        <w:sz w:val="14"/>
                        <w:szCs w:val="14"/>
                      </w:rPr>
                      <w:t>Information Resources, Inc. (IRI)</w:t>
                    </w:r>
                  </w:p>
                </w:txbxContent>
              </v:textbox>
              <w10:wrap anchorx="page" anchory="page"/>
            </v:shape>
          </w:pict>
        </mc:Fallback>
      </mc:AlternateContent>
    </w:r>
    <w:r w:rsidRPr="00030F05">
      <w:rPr>
        <w:sz w:val="16"/>
      </w:rPr>
      <w:t>Need more information?</w:t>
    </w:r>
    <w:r w:rsidRPr="00030F05">
      <w:rPr>
        <w:sz w:val="16"/>
      </w:rPr>
      <w:br/>
    </w:r>
    <w:hyperlink r:id="rId1" w:history="1">
      <w:r w:rsidRPr="00F11F9B">
        <w:rPr>
          <w:rStyle w:val="Hyperlink"/>
          <w:color w:val="000000" w:themeColor="text1"/>
          <w:sz w:val="16"/>
          <w:u w:val="none"/>
        </w:rPr>
        <w:t>freshfoods@iriworldwide.com</w:t>
      </w:r>
    </w:hyperlink>
    <w:r w:rsidRPr="00F11F9B">
      <w:rPr>
        <w:color w:val="000000" w:themeColor="text1"/>
        <w:sz w:val="16"/>
      </w:rPr>
      <w:tab/>
    </w:r>
    <w:r w:rsidRPr="00F11F9B">
      <w:rPr>
        <w:color w:val="000000" w:themeColor="text1"/>
        <w:sz w:val="16"/>
      </w:rPr>
      <w:tab/>
    </w:r>
    <w:r w:rsidRPr="00F11F9B">
      <w:rPr>
        <w:color w:val="000000" w:themeColor="text1"/>
        <w:sz w:val="16"/>
      </w:rPr>
      <w:tab/>
      <w:t>210 Analytics</w:t>
    </w:r>
  </w:p>
  <w:p w14:paraId="1456F6FC" w14:textId="77777777" w:rsidR="00A11196" w:rsidRPr="00030F05" w:rsidRDefault="00A11196" w:rsidP="00030F05">
    <w:pPr>
      <w:pStyle w:val="NoSpacing"/>
      <w:rPr>
        <w:sz w:val="16"/>
      </w:rPr>
    </w:pPr>
    <w:r w:rsidRPr="00030F05">
      <w:rPr>
        <w:sz w:val="16"/>
      </w:rPr>
      <w:t>Headquarters:   +1.312.726.1221</w:t>
    </w:r>
    <w:r>
      <w:rPr>
        <w:sz w:val="16"/>
      </w:rPr>
      <w:tab/>
    </w:r>
    <w:r>
      <w:rPr>
        <w:sz w:val="16"/>
      </w:rPr>
      <w:tab/>
    </w:r>
    <w:r>
      <w:rPr>
        <w:sz w:val="16"/>
      </w:rPr>
      <w:tab/>
      <w:t>aroerink@210analytics.com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B231" w14:textId="77777777" w:rsidR="00543E01" w:rsidRDefault="00543E01" w:rsidP="00030F05">
      <w:pPr>
        <w:spacing w:after="0" w:line="240" w:lineRule="auto"/>
      </w:pPr>
      <w:r>
        <w:separator/>
      </w:r>
    </w:p>
  </w:footnote>
  <w:footnote w:type="continuationSeparator" w:id="0">
    <w:p w14:paraId="330C56C4" w14:textId="77777777" w:rsidR="00543E01" w:rsidRDefault="00543E01" w:rsidP="00030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8B8C" w14:textId="77777777" w:rsidR="00A11196" w:rsidRDefault="00A11196">
    <w:pPr>
      <w:pStyle w:val="Header"/>
    </w:pPr>
    <w:r w:rsidRPr="00030F05">
      <w:rPr>
        <w:noProof/>
        <w:lang w:val="nl-NL" w:eastAsia="nl-NL"/>
      </w:rPr>
      <w:drawing>
        <wp:anchor distT="0" distB="0" distL="114300" distR="114300" simplePos="0" relativeHeight="251660288" behindDoc="1" locked="1" layoutInCell="1" allowOverlap="1" wp14:anchorId="1AACF58D" wp14:editId="7854D326">
          <wp:simplePos x="0" y="0"/>
          <wp:positionH relativeFrom="page">
            <wp:posOffset>1524000</wp:posOffset>
          </wp:positionH>
          <wp:positionV relativeFrom="page">
            <wp:posOffset>0</wp:posOffset>
          </wp:positionV>
          <wp:extent cx="6267450" cy="790575"/>
          <wp:effectExtent l="19050" t="0" r="0" b="0"/>
          <wp:wrapNone/>
          <wp:docPr id="12" name="Picture 12"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rcRect b="28448"/>
                  <a:stretch>
                    <a:fillRect/>
                  </a:stretch>
                </pic:blipFill>
                <pic:spPr>
                  <a:xfrm>
                    <a:off x="0" y="0"/>
                    <a:ext cx="6267450" cy="790575"/>
                  </a:xfrm>
                  <a:prstGeom prst="rect">
                    <a:avLst/>
                  </a:prstGeom>
                </pic:spPr>
              </pic:pic>
            </a:graphicData>
          </a:graphic>
        </wp:anchor>
      </w:drawing>
    </w:r>
    <w:r w:rsidRPr="00030F05">
      <w:rPr>
        <w:noProof/>
        <w:lang w:val="nl-NL" w:eastAsia="nl-NL"/>
      </w:rPr>
      <w:drawing>
        <wp:anchor distT="0" distB="0" distL="114300" distR="114300" simplePos="0" relativeHeight="251659264" behindDoc="0" locked="1" layoutInCell="1" allowOverlap="1" wp14:anchorId="69354A18" wp14:editId="3C686D23">
          <wp:simplePos x="0" y="0"/>
          <wp:positionH relativeFrom="page">
            <wp:posOffset>-57150</wp:posOffset>
          </wp:positionH>
          <wp:positionV relativeFrom="page">
            <wp:posOffset>0</wp:posOffset>
          </wp:positionV>
          <wp:extent cx="7905750" cy="292100"/>
          <wp:effectExtent l="0" t="0" r="0" b="127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jpg"/>
                  <pic:cNvPicPr/>
                </pic:nvPicPr>
                <pic:blipFill rotWithShape="1">
                  <a:blip r:embed="rId2">
                    <a:extLst>
                      <a:ext uri="{28A0092B-C50C-407E-A947-70E740481C1C}">
                        <a14:useLocalDpi xmlns:a14="http://schemas.microsoft.com/office/drawing/2010/main"/>
                      </a:ext>
                    </a:extLst>
                  </a:blip>
                  <a:srcRect/>
                  <a:stretch/>
                </pic:blipFill>
                <pic:spPr bwMode="auto">
                  <a:xfrm>
                    <a:off x="0" y="0"/>
                    <a:ext cx="7909560" cy="2921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D7C"/>
    <w:multiLevelType w:val="multilevel"/>
    <w:tmpl w:val="73AC30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275C90"/>
    <w:multiLevelType w:val="hybridMultilevel"/>
    <w:tmpl w:val="752ED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8040D6"/>
    <w:multiLevelType w:val="hybridMultilevel"/>
    <w:tmpl w:val="11A09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0B60CD"/>
    <w:multiLevelType w:val="hybridMultilevel"/>
    <w:tmpl w:val="ABEA9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24EF3"/>
    <w:multiLevelType w:val="hybridMultilevel"/>
    <w:tmpl w:val="FA960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A0879"/>
    <w:multiLevelType w:val="hybridMultilevel"/>
    <w:tmpl w:val="69AC7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C50D42"/>
    <w:multiLevelType w:val="hybridMultilevel"/>
    <w:tmpl w:val="8F8C6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D3521"/>
    <w:multiLevelType w:val="hybridMultilevel"/>
    <w:tmpl w:val="4676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0174F"/>
    <w:multiLevelType w:val="hybridMultilevel"/>
    <w:tmpl w:val="909AD70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994B8C"/>
    <w:multiLevelType w:val="hybridMultilevel"/>
    <w:tmpl w:val="FFB46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C509C"/>
    <w:multiLevelType w:val="hybridMultilevel"/>
    <w:tmpl w:val="8CB4606C"/>
    <w:lvl w:ilvl="0" w:tplc="061E16FE">
      <w:numFmt w:val="bullet"/>
      <w:lvlText w:val=""/>
      <w:lvlJc w:val="left"/>
      <w:pPr>
        <w:ind w:left="1080" w:hanging="360"/>
      </w:pPr>
      <w:rPr>
        <w:rFonts w:ascii="Arial" w:eastAsiaTheme="minorHAnsi"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3B6991"/>
    <w:multiLevelType w:val="multilevel"/>
    <w:tmpl w:val="7CA40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35E18BB"/>
    <w:multiLevelType w:val="hybridMultilevel"/>
    <w:tmpl w:val="DB7A9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5F3ED4"/>
    <w:multiLevelType w:val="hybridMultilevel"/>
    <w:tmpl w:val="57A4C8D6"/>
    <w:lvl w:ilvl="0" w:tplc="061E16FE">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C3B04"/>
    <w:multiLevelType w:val="hybridMultilevel"/>
    <w:tmpl w:val="7F3CC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81402"/>
    <w:multiLevelType w:val="hybridMultilevel"/>
    <w:tmpl w:val="870C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45F82"/>
    <w:multiLevelType w:val="hybridMultilevel"/>
    <w:tmpl w:val="6FA0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A15C7"/>
    <w:multiLevelType w:val="hybridMultilevel"/>
    <w:tmpl w:val="38A47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997A99"/>
    <w:multiLevelType w:val="hybridMultilevel"/>
    <w:tmpl w:val="1E2CD3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924DE6"/>
    <w:multiLevelType w:val="hybridMultilevel"/>
    <w:tmpl w:val="649E6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5042CF"/>
    <w:multiLevelType w:val="hybridMultilevel"/>
    <w:tmpl w:val="A328D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077E2E"/>
    <w:multiLevelType w:val="multilevel"/>
    <w:tmpl w:val="FD2665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14F3091"/>
    <w:multiLevelType w:val="multilevel"/>
    <w:tmpl w:val="CE0AE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1FF24BB"/>
    <w:multiLevelType w:val="hybridMultilevel"/>
    <w:tmpl w:val="A492F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A064A1"/>
    <w:multiLevelType w:val="hybridMultilevel"/>
    <w:tmpl w:val="86840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9867E9"/>
    <w:multiLevelType w:val="hybridMultilevel"/>
    <w:tmpl w:val="48462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3F6D64"/>
    <w:multiLevelType w:val="hybridMultilevel"/>
    <w:tmpl w:val="EFAC4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B80BB5"/>
    <w:multiLevelType w:val="hybridMultilevel"/>
    <w:tmpl w:val="93965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B31247"/>
    <w:multiLevelType w:val="hybridMultilevel"/>
    <w:tmpl w:val="A3E05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39032F"/>
    <w:multiLevelType w:val="hybridMultilevel"/>
    <w:tmpl w:val="12500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620512"/>
    <w:multiLevelType w:val="hybridMultilevel"/>
    <w:tmpl w:val="75D61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910E7D"/>
    <w:multiLevelType w:val="hybridMultilevel"/>
    <w:tmpl w:val="11763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7A61B6"/>
    <w:multiLevelType w:val="hybridMultilevel"/>
    <w:tmpl w:val="85081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87098B"/>
    <w:multiLevelType w:val="hybridMultilevel"/>
    <w:tmpl w:val="5A20FA7A"/>
    <w:lvl w:ilvl="0" w:tplc="D9FAE74E">
      <w:start w:val="1"/>
      <w:numFmt w:val="bullet"/>
      <w:suff w:val="space"/>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42973"/>
    <w:multiLevelType w:val="multilevel"/>
    <w:tmpl w:val="A028A2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C3F7445"/>
    <w:multiLevelType w:val="hybridMultilevel"/>
    <w:tmpl w:val="FBD6075E"/>
    <w:lvl w:ilvl="0" w:tplc="D6447FD4">
      <w:start w:val="12"/>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D051E3B"/>
    <w:multiLevelType w:val="multilevel"/>
    <w:tmpl w:val="7708F21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6EE87EF7"/>
    <w:multiLevelType w:val="hybridMultilevel"/>
    <w:tmpl w:val="3FBA4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034E9D"/>
    <w:multiLevelType w:val="hybridMultilevel"/>
    <w:tmpl w:val="3FC25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ED5576"/>
    <w:multiLevelType w:val="hybridMultilevel"/>
    <w:tmpl w:val="64E2B4B6"/>
    <w:lvl w:ilvl="0" w:tplc="D1F2BFBE">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567342">
    <w:abstractNumId w:val="4"/>
  </w:num>
  <w:num w:numId="2" w16cid:durableId="1529493051">
    <w:abstractNumId w:val="31"/>
  </w:num>
  <w:num w:numId="3" w16cid:durableId="488598559">
    <w:abstractNumId w:val="12"/>
  </w:num>
  <w:num w:numId="4" w16cid:durableId="595358230">
    <w:abstractNumId w:val="26"/>
  </w:num>
  <w:num w:numId="5" w16cid:durableId="1033551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16457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646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82921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089017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9840753">
    <w:abstractNumId w:val="8"/>
  </w:num>
  <w:num w:numId="11" w16cid:durableId="1339499592">
    <w:abstractNumId w:val="16"/>
  </w:num>
  <w:num w:numId="12" w16cid:durableId="953486751">
    <w:abstractNumId w:val="13"/>
  </w:num>
  <w:num w:numId="13" w16cid:durableId="646474452">
    <w:abstractNumId w:val="10"/>
  </w:num>
  <w:num w:numId="14" w16cid:durableId="16734909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723559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4183903">
    <w:abstractNumId w:val="38"/>
  </w:num>
  <w:num w:numId="17" w16cid:durableId="16121992">
    <w:abstractNumId w:val="9"/>
  </w:num>
  <w:num w:numId="18" w16cid:durableId="302318199">
    <w:abstractNumId w:val="7"/>
  </w:num>
  <w:num w:numId="19" w16cid:durableId="876889083">
    <w:abstractNumId w:val="33"/>
  </w:num>
  <w:num w:numId="20" w16cid:durableId="1494687521">
    <w:abstractNumId w:val="39"/>
  </w:num>
  <w:num w:numId="21" w16cid:durableId="2072923391">
    <w:abstractNumId w:val="27"/>
  </w:num>
  <w:num w:numId="22" w16cid:durableId="918513967">
    <w:abstractNumId w:val="17"/>
  </w:num>
  <w:num w:numId="23" w16cid:durableId="790706785">
    <w:abstractNumId w:val="30"/>
  </w:num>
  <w:num w:numId="24" w16cid:durableId="110318766">
    <w:abstractNumId w:val="19"/>
  </w:num>
  <w:num w:numId="25" w16cid:durableId="181238503">
    <w:abstractNumId w:val="37"/>
  </w:num>
  <w:num w:numId="26" w16cid:durableId="1818574202">
    <w:abstractNumId w:val="28"/>
  </w:num>
  <w:num w:numId="27" w16cid:durableId="1993216646">
    <w:abstractNumId w:val="20"/>
  </w:num>
  <w:num w:numId="28" w16cid:durableId="134178593">
    <w:abstractNumId w:val="5"/>
  </w:num>
  <w:num w:numId="29" w16cid:durableId="1915624353">
    <w:abstractNumId w:val="2"/>
  </w:num>
  <w:num w:numId="30" w16cid:durableId="151601926">
    <w:abstractNumId w:val="1"/>
  </w:num>
  <w:num w:numId="31" w16cid:durableId="943461634">
    <w:abstractNumId w:val="23"/>
  </w:num>
  <w:num w:numId="32" w16cid:durableId="1039746393">
    <w:abstractNumId w:val="32"/>
  </w:num>
  <w:num w:numId="33" w16cid:durableId="1405375565">
    <w:abstractNumId w:val="6"/>
  </w:num>
  <w:num w:numId="34" w16cid:durableId="875199079">
    <w:abstractNumId w:val="3"/>
  </w:num>
  <w:num w:numId="35" w16cid:durableId="1290631265">
    <w:abstractNumId w:val="18"/>
  </w:num>
  <w:num w:numId="36" w16cid:durableId="941035550">
    <w:abstractNumId w:val="25"/>
  </w:num>
  <w:num w:numId="37" w16cid:durableId="898245980">
    <w:abstractNumId w:val="29"/>
  </w:num>
  <w:num w:numId="38" w16cid:durableId="335767490">
    <w:abstractNumId w:val="15"/>
  </w:num>
  <w:num w:numId="39" w16cid:durableId="693657199">
    <w:abstractNumId w:val="14"/>
  </w:num>
  <w:num w:numId="40" w16cid:durableId="10170756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E3"/>
    <w:rsid w:val="000001F1"/>
    <w:rsid w:val="000009C5"/>
    <w:rsid w:val="000011EF"/>
    <w:rsid w:val="00002925"/>
    <w:rsid w:val="00002F63"/>
    <w:rsid w:val="0000766F"/>
    <w:rsid w:val="00010FAD"/>
    <w:rsid w:val="000125AA"/>
    <w:rsid w:val="00012A5E"/>
    <w:rsid w:val="00013448"/>
    <w:rsid w:val="00013E55"/>
    <w:rsid w:val="0001526F"/>
    <w:rsid w:val="0002049A"/>
    <w:rsid w:val="000212AA"/>
    <w:rsid w:val="00021B82"/>
    <w:rsid w:val="00023F33"/>
    <w:rsid w:val="000253BC"/>
    <w:rsid w:val="00027CAA"/>
    <w:rsid w:val="00030F05"/>
    <w:rsid w:val="000311F5"/>
    <w:rsid w:val="0003170A"/>
    <w:rsid w:val="00032DD7"/>
    <w:rsid w:val="00033D02"/>
    <w:rsid w:val="00033E4F"/>
    <w:rsid w:val="00034F34"/>
    <w:rsid w:val="00036EFD"/>
    <w:rsid w:val="00041900"/>
    <w:rsid w:val="00045B0F"/>
    <w:rsid w:val="00050133"/>
    <w:rsid w:val="0005098C"/>
    <w:rsid w:val="00051C92"/>
    <w:rsid w:val="00052208"/>
    <w:rsid w:val="00052CC5"/>
    <w:rsid w:val="000543D2"/>
    <w:rsid w:val="00055341"/>
    <w:rsid w:val="00055690"/>
    <w:rsid w:val="00055750"/>
    <w:rsid w:val="00056F44"/>
    <w:rsid w:val="000576BD"/>
    <w:rsid w:val="000601B0"/>
    <w:rsid w:val="00061BE8"/>
    <w:rsid w:val="00061E00"/>
    <w:rsid w:val="00063FDF"/>
    <w:rsid w:val="000642B2"/>
    <w:rsid w:val="000679E6"/>
    <w:rsid w:val="00070E98"/>
    <w:rsid w:val="0007205D"/>
    <w:rsid w:val="0007230D"/>
    <w:rsid w:val="00072596"/>
    <w:rsid w:val="00072F38"/>
    <w:rsid w:val="0007328B"/>
    <w:rsid w:val="000738E6"/>
    <w:rsid w:val="00073E9A"/>
    <w:rsid w:val="000758C1"/>
    <w:rsid w:val="0007777A"/>
    <w:rsid w:val="00077922"/>
    <w:rsid w:val="0008143B"/>
    <w:rsid w:val="0008149A"/>
    <w:rsid w:val="00082562"/>
    <w:rsid w:val="0008559D"/>
    <w:rsid w:val="0008679D"/>
    <w:rsid w:val="000871C8"/>
    <w:rsid w:val="00087618"/>
    <w:rsid w:val="00090B60"/>
    <w:rsid w:val="00091743"/>
    <w:rsid w:val="00092AF2"/>
    <w:rsid w:val="00092DBD"/>
    <w:rsid w:val="0009374A"/>
    <w:rsid w:val="00094060"/>
    <w:rsid w:val="00094529"/>
    <w:rsid w:val="0009481F"/>
    <w:rsid w:val="00095085"/>
    <w:rsid w:val="00095FC2"/>
    <w:rsid w:val="0009649C"/>
    <w:rsid w:val="00096681"/>
    <w:rsid w:val="000A08D2"/>
    <w:rsid w:val="000A3005"/>
    <w:rsid w:val="000A37FE"/>
    <w:rsid w:val="000A3830"/>
    <w:rsid w:val="000A3A30"/>
    <w:rsid w:val="000A3CDC"/>
    <w:rsid w:val="000A3EEC"/>
    <w:rsid w:val="000A5C0C"/>
    <w:rsid w:val="000A74D9"/>
    <w:rsid w:val="000A7B45"/>
    <w:rsid w:val="000A7DA5"/>
    <w:rsid w:val="000B121F"/>
    <w:rsid w:val="000B140C"/>
    <w:rsid w:val="000B227A"/>
    <w:rsid w:val="000B346B"/>
    <w:rsid w:val="000B35DB"/>
    <w:rsid w:val="000B611D"/>
    <w:rsid w:val="000B63DA"/>
    <w:rsid w:val="000B64FA"/>
    <w:rsid w:val="000B6F01"/>
    <w:rsid w:val="000B748F"/>
    <w:rsid w:val="000B7BC1"/>
    <w:rsid w:val="000B7D0E"/>
    <w:rsid w:val="000C0DE7"/>
    <w:rsid w:val="000C0E8D"/>
    <w:rsid w:val="000C2FAB"/>
    <w:rsid w:val="000C3C34"/>
    <w:rsid w:val="000C422C"/>
    <w:rsid w:val="000D00A7"/>
    <w:rsid w:val="000D0858"/>
    <w:rsid w:val="000D0B85"/>
    <w:rsid w:val="000D18BD"/>
    <w:rsid w:val="000E123B"/>
    <w:rsid w:val="000E1306"/>
    <w:rsid w:val="000E3328"/>
    <w:rsid w:val="000E458B"/>
    <w:rsid w:val="000E4A37"/>
    <w:rsid w:val="000E5940"/>
    <w:rsid w:val="000E76FD"/>
    <w:rsid w:val="000F0C9A"/>
    <w:rsid w:val="000F1A1B"/>
    <w:rsid w:val="000F1FA8"/>
    <w:rsid w:val="000F21EC"/>
    <w:rsid w:val="000F22A7"/>
    <w:rsid w:val="000F2D14"/>
    <w:rsid w:val="000F30B2"/>
    <w:rsid w:val="000F4334"/>
    <w:rsid w:val="001003D4"/>
    <w:rsid w:val="00102C61"/>
    <w:rsid w:val="00102F6A"/>
    <w:rsid w:val="00104952"/>
    <w:rsid w:val="00105F7B"/>
    <w:rsid w:val="0010613B"/>
    <w:rsid w:val="0010797D"/>
    <w:rsid w:val="00113A54"/>
    <w:rsid w:val="001144F0"/>
    <w:rsid w:val="00116747"/>
    <w:rsid w:val="00116AB9"/>
    <w:rsid w:val="001174C8"/>
    <w:rsid w:val="00120381"/>
    <w:rsid w:val="00120429"/>
    <w:rsid w:val="00123A72"/>
    <w:rsid w:val="00125391"/>
    <w:rsid w:val="00125A29"/>
    <w:rsid w:val="001309AE"/>
    <w:rsid w:val="001331ED"/>
    <w:rsid w:val="0013431F"/>
    <w:rsid w:val="0013676E"/>
    <w:rsid w:val="0014076B"/>
    <w:rsid w:val="00140C06"/>
    <w:rsid w:val="001419F7"/>
    <w:rsid w:val="00145285"/>
    <w:rsid w:val="001479C6"/>
    <w:rsid w:val="0015045A"/>
    <w:rsid w:val="001554E6"/>
    <w:rsid w:val="00156215"/>
    <w:rsid w:val="00156519"/>
    <w:rsid w:val="00161A66"/>
    <w:rsid w:val="00165FB4"/>
    <w:rsid w:val="001664DB"/>
    <w:rsid w:val="001675B5"/>
    <w:rsid w:val="00167C99"/>
    <w:rsid w:val="00170325"/>
    <w:rsid w:val="00171042"/>
    <w:rsid w:val="00171A66"/>
    <w:rsid w:val="001748BC"/>
    <w:rsid w:val="00174AE9"/>
    <w:rsid w:val="001805CD"/>
    <w:rsid w:val="00180FDD"/>
    <w:rsid w:val="00181D55"/>
    <w:rsid w:val="0018200E"/>
    <w:rsid w:val="00183436"/>
    <w:rsid w:val="00183CE4"/>
    <w:rsid w:val="00183E17"/>
    <w:rsid w:val="00184679"/>
    <w:rsid w:val="001856B2"/>
    <w:rsid w:val="00185B1D"/>
    <w:rsid w:val="00186F1E"/>
    <w:rsid w:val="00190922"/>
    <w:rsid w:val="00190B80"/>
    <w:rsid w:val="00191690"/>
    <w:rsid w:val="00191808"/>
    <w:rsid w:val="00193669"/>
    <w:rsid w:val="00194739"/>
    <w:rsid w:val="00194ED3"/>
    <w:rsid w:val="00195D9F"/>
    <w:rsid w:val="00196C21"/>
    <w:rsid w:val="001978D7"/>
    <w:rsid w:val="001A1991"/>
    <w:rsid w:val="001A19BA"/>
    <w:rsid w:val="001A3295"/>
    <w:rsid w:val="001A46D6"/>
    <w:rsid w:val="001A481A"/>
    <w:rsid w:val="001A607F"/>
    <w:rsid w:val="001A64F0"/>
    <w:rsid w:val="001A6CD8"/>
    <w:rsid w:val="001A7ED0"/>
    <w:rsid w:val="001B04EA"/>
    <w:rsid w:val="001B2776"/>
    <w:rsid w:val="001B34A6"/>
    <w:rsid w:val="001B4E2D"/>
    <w:rsid w:val="001B6BE5"/>
    <w:rsid w:val="001B72CA"/>
    <w:rsid w:val="001B77A6"/>
    <w:rsid w:val="001C0BD5"/>
    <w:rsid w:val="001C14E5"/>
    <w:rsid w:val="001C150B"/>
    <w:rsid w:val="001C2D5F"/>
    <w:rsid w:val="001C37AC"/>
    <w:rsid w:val="001D0C48"/>
    <w:rsid w:val="001D0C77"/>
    <w:rsid w:val="001D3FCA"/>
    <w:rsid w:val="001D42B8"/>
    <w:rsid w:val="001D6D72"/>
    <w:rsid w:val="001D7743"/>
    <w:rsid w:val="001E1674"/>
    <w:rsid w:val="001E3BD8"/>
    <w:rsid w:val="001E4D7E"/>
    <w:rsid w:val="001F1060"/>
    <w:rsid w:val="001F1408"/>
    <w:rsid w:val="001F676A"/>
    <w:rsid w:val="001F6D6F"/>
    <w:rsid w:val="001F6EA3"/>
    <w:rsid w:val="001F7022"/>
    <w:rsid w:val="001F76FA"/>
    <w:rsid w:val="00201F76"/>
    <w:rsid w:val="00203299"/>
    <w:rsid w:val="00203B10"/>
    <w:rsid w:val="0021098B"/>
    <w:rsid w:val="002132AD"/>
    <w:rsid w:val="00213F1E"/>
    <w:rsid w:val="00214888"/>
    <w:rsid w:val="002177F6"/>
    <w:rsid w:val="00217AE7"/>
    <w:rsid w:val="00221714"/>
    <w:rsid w:val="002230B9"/>
    <w:rsid w:val="00225748"/>
    <w:rsid w:val="00226186"/>
    <w:rsid w:val="00226BA8"/>
    <w:rsid w:val="00230543"/>
    <w:rsid w:val="00231C4A"/>
    <w:rsid w:val="00231CF7"/>
    <w:rsid w:val="00232287"/>
    <w:rsid w:val="00234058"/>
    <w:rsid w:val="00235AD1"/>
    <w:rsid w:val="00240A85"/>
    <w:rsid w:val="00242AF4"/>
    <w:rsid w:val="0024319E"/>
    <w:rsid w:val="0024359C"/>
    <w:rsid w:val="00246184"/>
    <w:rsid w:val="002528E4"/>
    <w:rsid w:val="00252B2D"/>
    <w:rsid w:val="002548AB"/>
    <w:rsid w:val="00260C72"/>
    <w:rsid w:val="00260E4F"/>
    <w:rsid w:val="00261C8D"/>
    <w:rsid w:val="00262CB6"/>
    <w:rsid w:val="00262DB6"/>
    <w:rsid w:val="00263921"/>
    <w:rsid w:val="00266306"/>
    <w:rsid w:val="0027199D"/>
    <w:rsid w:val="00272AF4"/>
    <w:rsid w:val="00272E68"/>
    <w:rsid w:val="002737E7"/>
    <w:rsid w:val="00274281"/>
    <w:rsid w:val="002742F9"/>
    <w:rsid w:val="00274366"/>
    <w:rsid w:val="002757CD"/>
    <w:rsid w:val="00276669"/>
    <w:rsid w:val="00276837"/>
    <w:rsid w:val="00280017"/>
    <w:rsid w:val="0028041D"/>
    <w:rsid w:val="00283109"/>
    <w:rsid w:val="00287181"/>
    <w:rsid w:val="00287731"/>
    <w:rsid w:val="0029220C"/>
    <w:rsid w:val="00294D24"/>
    <w:rsid w:val="00296624"/>
    <w:rsid w:val="002A089A"/>
    <w:rsid w:val="002A1487"/>
    <w:rsid w:val="002A1AA5"/>
    <w:rsid w:val="002A2966"/>
    <w:rsid w:val="002A577C"/>
    <w:rsid w:val="002A6386"/>
    <w:rsid w:val="002A6E2F"/>
    <w:rsid w:val="002A71C0"/>
    <w:rsid w:val="002A75AF"/>
    <w:rsid w:val="002A7D57"/>
    <w:rsid w:val="002B2C63"/>
    <w:rsid w:val="002B31C2"/>
    <w:rsid w:val="002B3F25"/>
    <w:rsid w:val="002B4482"/>
    <w:rsid w:val="002C01FB"/>
    <w:rsid w:val="002C0388"/>
    <w:rsid w:val="002C3AC9"/>
    <w:rsid w:val="002C760B"/>
    <w:rsid w:val="002C7D6A"/>
    <w:rsid w:val="002D14EA"/>
    <w:rsid w:val="002D1A1A"/>
    <w:rsid w:val="002D323E"/>
    <w:rsid w:val="002D3C4B"/>
    <w:rsid w:val="002D4BC6"/>
    <w:rsid w:val="002D6E07"/>
    <w:rsid w:val="002D7C2D"/>
    <w:rsid w:val="002D7C50"/>
    <w:rsid w:val="002E1292"/>
    <w:rsid w:val="002E238C"/>
    <w:rsid w:val="002E3184"/>
    <w:rsid w:val="002E3BE9"/>
    <w:rsid w:val="002E4195"/>
    <w:rsid w:val="002E5E4C"/>
    <w:rsid w:val="002E6AE2"/>
    <w:rsid w:val="002E7203"/>
    <w:rsid w:val="002E7842"/>
    <w:rsid w:val="002F0028"/>
    <w:rsid w:val="002F1563"/>
    <w:rsid w:val="002F1D6B"/>
    <w:rsid w:val="002F248B"/>
    <w:rsid w:val="002F6051"/>
    <w:rsid w:val="002F6C4F"/>
    <w:rsid w:val="002F72A9"/>
    <w:rsid w:val="002F7B8D"/>
    <w:rsid w:val="00301C13"/>
    <w:rsid w:val="00302804"/>
    <w:rsid w:val="0030328A"/>
    <w:rsid w:val="00303E72"/>
    <w:rsid w:val="00304739"/>
    <w:rsid w:val="00304FFF"/>
    <w:rsid w:val="00306ACF"/>
    <w:rsid w:val="003118F2"/>
    <w:rsid w:val="00313902"/>
    <w:rsid w:val="0031417F"/>
    <w:rsid w:val="00314418"/>
    <w:rsid w:val="00315319"/>
    <w:rsid w:val="00315429"/>
    <w:rsid w:val="003163D0"/>
    <w:rsid w:val="00316B2C"/>
    <w:rsid w:val="00316FAD"/>
    <w:rsid w:val="0032016C"/>
    <w:rsid w:val="00321CEF"/>
    <w:rsid w:val="0032365A"/>
    <w:rsid w:val="003254BA"/>
    <w:rsid w:val="00325B45"/>
    <w:rsid w:val="00325F81"/>
    <w:rsid w:val="003261A6"/>
    <w:rsid w:val="00326C12"/>
    <w:rsid w:val="00330637"/>
    <w:rsid w:val="003324B1"/>
    <w:rsid w:val="00334831"/>
    <w:rsid w:val="00334F1A"/>
    <w:rsid w:val="00335193"/>
    <w:rsid w:val="003360D2"/>
    <w:rsid w:val="00336D4C"/>
    <w:rsid w:val="00337FED"/>
    <w:rsid w:val="00340959"/>
    <w:rsid w:val="00342313"/>
    <w:rsid w:val="00342C6A"/>
    <w:rsid w:val="003431DF"/>
    <w:rsid w:val="003448B6"/>
    <w:rsid w:val="00344A22"/>
    <w:rsid w:val="00345E8D"/>
    <w:rsid w:val="00345FF2"/>
    <w:rsid w:val="00346B3A"/>
    <w:rsid w:val="00346DE1"/>
    <w:rsid w:val="00347110"/>
    <w:rsid w:val="00347610"/>
    <w:rsid w:val="00347B49"/>
    <w:rsid w:val="003500E3"/>
    <w:rsid w:val="00350205"/>
    <w:rsid w:val="00350A34"/>
    <w:rsid w:val="003527E3"/>
    <w:rsid w:val="0035313A"/>
    <w:rsid w:val="003541A1"/>
    <w:rsid w:val="003554C2"/>
    <w:rsid w:val="003568D9"/>
    <w:rsid w:val="003574FB"/>
    <w:rsid w:val="003625B8"/>
    <w:rsid w:val="00362BEA"/>
    <w:rsid w:val="0036550E"/>
    <w:rsid w:val="003663BF"/>
    <w:rsid w:val="00370992"/>
    <w:rsid w:val="00374E7A"/>
    <w:rsid w:val="00375B32"/>
    <w:rsid w:val="00376706"/>
    <w:rsid w:val="00376A79"/>
    <w:rsid w:val="0038018D"/>
    <w:rsid w:val="00380D04"/>
    <w:rsid w:val="00380F61"/>
    <w:rsid w:val="00383A6F"/>
    <w:rsid w:val="00383D77"/>
    <w:rsid w:val="003851FB"/>
    <w:rsid w:val="003857E0"/>
    <w:rsid w:val="00386B12"/>
    <w:rsid w:val="00387278"/>
    <w:rsid w:val="00387F21"/>
    <w:rsid w:val="003921F9"/>
    <w:rsid w:val="003927FC"/>
    <w:rsid w:val="003940AF"/>
    <w:rsid w:val="0039487E"/>
    <w:rsid w:val="00394EA2"/>
    <w:rsid w:val="0039590F"/>
    <w:rsid w:val="003969FA"/>
    <w:rsid w:val="00396E7C"/>
    <w:rsid w:val="003A19B8"/>
    <w:rsid w:val="003A5DBA"/>
    <w:rsid w:val="003A61FF"/>
    <w:rsid w:val="003A7585"/>
    <w:rsid w:val="003A7881"/>
    <w:rsid w:val="003B0021"/>
    <w:rsid w:val="003B1161"/>
    <w:rsid w:val="003B214B"/>
    <w:rsid w:val="003B302F"/>
    <w:rsid w:val="003B32AA"/>
    <w:rsid w:val="003B4E71"/>
    <w:rsid w:val="003C0861"/>
    <w:rsid w:val="003C3E06"/>
    <w:rsid w:val="003C4813"/>
    <w:rsid w:val="003C49A4"/>
    <w:rsid w:val="003C6545"/>
    <w:rsid w:val="003C65CF"/>
    <w:rsid w:val="003C6A05"/>
    <w:rsid w:val="003C7652"/>
    <w:rsid w:val="003D13EB"/>
    <w:rsid w:val="003D187D"/>
    <w:rsid w:val="003D236E"/>
    <w:rsid w:val="003D45D7"/>
    <w:rsid w:val="003D4D80"/>
    <w:rsid w:val="003D581F"/>
    <w:rsid w:val="003D5AD3"/>
    <w:rsid w:val="003E01D8"/>
    <w:rsid w:val="003E01E8"/>
    <w:rsid w:val="003E2F7A"/>
    <w:rsid w:val="003E7ECC"/>
    <w:rsid w:val="003F00AF"/>
    <w:rsid w:val="003F14FD"/>
    <w:rsid w:val="003F1805"/>
    <w:rsid w:val="003F1CDF"/>
    <w:rsid w:val="003F2866"/>
    <w:rsid w:val="003F4CDA"/>
    <w:rsid w:val="003F6BAD"/>
    <w:rsid w:val="003F6D97"/>
    <w:rsid w:val="003F6FE3"/>
    <w:rsid w:val="00404782"/>
    <w:rsid w:val="00405564"/>
    <w:rsid w:val="00405CB6"/>
    <w:rsid w:val="00405E00"/>
    <w:rsid w:val="00406B61"/>
    <w:rsid w:val="00407D80"/>
    <w:rsid w:val="004112C4"/>
    <w:rsid w:val="00411751"/>
    <w:rsid w:val="00412520"/>
    <w:rsid w:val="0041377F"/>
    <w:rsid w:val="004151E6"/>
    <w:rsid w:val="00417C0D"/>
    <w:rsid w:val="00420BD2"/>
    <w:rsid w:val="004227A5"/>
    <w:rsid w:val="00423111"/>
    <w:rsid w:val="00423C4C"/>
    <w:rsid w:val="004335D7"/>
    <w:rsid w:val="00435079"/>
    <w:rsid w:val="00435D29"/>
    <w:rsid w:val="004367DF"/>
    <w:rsid w:val="00437327"/>
    <w:rsid w:val="004406AA"/>
    <w:rsid w:val="004421EF"/>
    <w:rsid w:val="00443ECC"/>
    <w:rsid w:val="00446125"/>
    <w:rsid w:val="004464F2"/>
    <w:rsid w:val="0045020A"/>
    <w:rsid w:val="0045075C"/>
    <w:rsid w:val="00456C42"/>
    <w:rsid w:val="00456D70"/>
    <w:rsid w:val="00457B5A"/>
    <w:rsid w:val="00461628"/>
    <w:rsid w:val="0046214D"/>
    <w:rsid w:val="004624FE"/>
    <w:rsid w:val="00462F93"/>
    <w:rsid w:val="00464303"/>
    <w:rsid w:val="004645B7"/>
    <w:rsid w:val="00466119"/>
    <w:rsid w:val="0046747F"/>
    <w:rsid w:val="004676AE"/>
    <w:rsid w:val="00470546"/>
    <w:rsid w:val="00470CC6"/>
    <w:rsid w:val="004716EE"/>
    <w:rsid w:val="00472CA2"/>
    <w:rsid w:val="00475723"/>
    <w:rsid w:val="00475BB4"/>
    <w:rsid w:val="00475EBE"/>
    <w:rsid w:val="004776E2"/>
    <w:rsid w:val="00477835"/>
    <w:rsid w:val="00481211"/>
    <w:rsid w:val="004817E9"/>
    <w:rsid w:val="00481A57"/>
    <w:rsid w:val="00482CBB"/>
    <w:rsid w:val="00482DB8"/>
    <w:rsid w:val="00482F82"/>
    <w:rsid w:val="0048478E"/>
    <w:rsid w:val="004855EF"/>
    <w:rsid w:val="004856F0"/>
    <w:rsid w:val="004864FE"/>
    <w:rsid w:val="00486ADA"/>
    <w:rsid w:val="00490789"/>
    <w:rsid w:val="00490DC1"/>
    <w:rsid w:val="00491C13"/>
    <w:rsid w:val="00492121"/>
    <w:rsid w:val="00494067"/>
    <w:rsid w:val="00494516"/>
    <w:rsid w:val="00494FD4"/>
    <w:rsid w:val="00495FE1"/>
    <w:rsid w:val="004963E8"/>
    <w:rsid w:val="00496AA1"/>
    <w:rsid w:val="00496C65"/>
    <w:rsid w:val="004971FE"/>
    <w:rsid w:val="00497905"/>
    <w:rsid w:val="004A1076"/>
    <w:rsid w:val="004A4872"/>
    <w:rsid w:val="004A5D75"/>
    <w:rsid w:val="004A6FD0"/>
    <w:rsid w:val="004B187D"/>
    <w:rsid w:val="004B1982"/>
    <w:rsid w:val="004B30DE"/>
    <w:rsid w:val="004B3231"/>
    <w:rsid w:val="004B4BCB"/>
    <w:rsid w:val="004B5141"/>
    <w:rsid w:val="004C16DF"/>
    <w:rsid w:val="004C1C31"/>
    <w:rsid w:val="004C2656"/>
    <w:rsid w:val="004C3618"/>
    <w:rsid w:val="004C3CFA"/>
    <w:rsid w:val="004C43EC"/>
    <w:rsid w:val="004C4BED"/>
    <w:rsid w:val="004C4E56"/>
    <w:rsid w:val="004C5298"/>
    <w:rsid w:val="004C5DD0"/>
    <w:rsid w:val="004C757F"/>
    <w:rsid w:val="004C7850"/>
    <w:rsid w:val="004D0206"/>
    <w:rsid w:val="004D083C"/>
    <w:rsid w:val="004D10D7"/>
    <w:rsid w:val="004D1150"/>
    <w:rsid w:val="004D2467"/>
    <w:rsid w:val="004D3116"/>
    <w:rsid w:val="004D3118"/>
    <w:rsid w:val="004D388E"/>
    <w:rsid w:val="004D441C"/>
    <w:rsid w:val="004D62C0"/>
    <w:rsid w:val="004D631A"/>
    <w:rsid w:val="004E054C"/>
    <w:rsid w:val="004E2251"/>
    <w:rsid w:val="004E2414"/>
    <w:rsid w:val="004E26F6"/>
    <w:rsid w:val="004E2C73"/>
    <w:rsid w:val="004E3C37"/>
    <w:rsid w:val="004E4B60"/>
    <w:rsid w:val="004E722E"/>
    <w:rsid w:val="004E72CD"/>
    <w:rsid w:val="004E7E0B"/>
    <w:rsid w:val="004F0FE7"/>
    <w:rsid w:val="004F13FA"/>
    <w:rsid w:val="004F294D"/>
    <w:rsid w:val="004F3E1D"/>
    <w:rsid w:val="004F471F"/>
    <w:rsid w:val="004F4ACA"/>
    <w:rsid w:val="004F4B90"/>
    <w:rsid w:val="004F5158"/>
    <w:rsid w:val="004F5F6F"/>
    <w:rsid w:val="004F64B6"/>
    <w:rsid w:val="004F6865"/>
    <w:rsid w:val="005025BA"/>
    <w:rsid w:val="00504AE6"/>
    <w:rsid w:val="00506F80"/>
    <w:rsid w:val="00510BE5"/>
    <w:rsid w:val="00510EA2"/>
    <w:rsid w:val="00511200"/>
    <w:rsid w:val="00511CFA"/>
    <w:rsid w:val="00512DFC"/>
    <w:rsid w:val="00513B44"/>
    <w:rsid w:val="005142AD"/>
    <w:rsid w:val="005145DD"/>
    <w:rsid w:val="005166EF"/>
    <w:rsid w:val="00520A7F"/>
    <w:rsid w:val="00520EA4"/>
    <w:rsid w:val="00522832"/>
    <w:rsid w:val="005245B1"/>
    <w:rsid w:val="00525A79"/>
    <w:rsid w:val="00526428"/>
    <w:rsid w:val="00526717"/>
    <w:rsid w:val="0052733C"/>
    <w:rsid w:val="00527B7D"/>
    <w:rsid w:val="005308AF"/>
    <w:rsid w:val="005314CB"/>
    <w:rsid w:val="005318F6"/>
    <w:rsid w:val="00532B96"/>
    <w:rsid w:val="005337F6"/>
    <w:rsid w:val="00535189"/>
    <w:rsid w:val="0053616C"/>
    <w:rsid w:val="00537588"/>
    <w:rsid w:val="00540CA9"/>
    <w:rsid w:val="00540CE0"/>
    <w:rsid w:val="005416AC"/>
    <w:rsid w:val="00543E01"/>
    <w:rsid w:val="005443DC"/>
    <w:rsid w:val="00544B8B"/>
    <w:rsid w:val="005454BB"/>
    <w:rsid w:val="00545651"/>
    <w:rsid w:val="00545B53"/>
    <w:rsid w:val="0055262A"/>
    <w:rsid w:val="00553734"/>
    <w:rsid w:val="00554CA8"/>
    <w:rsid w:val="0055552D"/>
    <w:rsid w:val="00555F70"/>
    <w:rsid w:val="005561E3"/>
    <w:rsid w:val="00556564"/>
    <w:rsid w:val="00556921"/>
    <w:rsid w:val="00556C7B"/>
    <w:rsid w:val="0055765B"/>
    <w:rsid w:val="0056058D"/>
    <w:rsid w:val="0056066A"/>
    <w:rsid w:val="00561B72"/>
    <w:rsid w:val="0056735C"/>
    <w:rsid w:val="00567DFF"/>
    <w:rsid w:val="0057313C"/>
    <w:rsid w:val="00573523"/>
    <w:rsid w:val="00575A10"/>
    <w:rsid w:val="00576150"/>
    <w:rsid w:val="00576750"/>
    <w:rsid w:val="0058030D"/>
    <w:rsid w:val="00580422"/>
    <w:rsid w:val="00582595"/>
    <w:rsid w:val="005832B5"/>
    <w:rsid w:val="005840EC"/>
    <w:rsid w:val="005869B3"/>
    <w:rsid w:val="00587D7F"/>
    <w:rsid w:val="005902C4"/>
    <w:rsid w:val="00590441"/>
    <w:rsid w:val="00590618"/>
    <w:rsid w:val="005911E7"/>
    <w:rsid w:val="00592809"/>
    <w:rsid w:val="00593099"/>
    <w:rsid w:val="00594902"/>
    <w:rsid w:val="00596DF3"/>
    <w:rsid w:val="00596EBC"/>
    <w:rsid w:val="005A2992"/>
    <w:rsid w:val="005A371B"/>
    <w:rsid w:val="005A4F46"/>
    <w:rsid w:val="005A6465"/>
    <w:rsid w:val="005A6DB5"/>
    <w:rsid w:val="005A7BD3"/>
    <w:rsid w:val="005B04AB"/>
    <w:rsid w:val="005B25B8"/>
    <w:rsid w:val="005B34EE"/>
    <w:rsid w:val="005B52FB"/>
    <w:rsid w:val="005B62E8"/>
    <w:rsid w:val="005B7626"/>
    <w:rsid w:val="005C11E4"/>
    <w:rsid w:val="005C270A"/>
    <w:rsid w:val="005C2EA0"/>
    <w:rsid w:val="005C3017"/>
    <w:rsid w:val="005C375B"/>
    <w:rsid w:val="005C3C8F"/>
    <w:rsid w:val="005C3DA3"/>
    <w:rsid w:val="005C3FF5"/>
    <w:rsid w:val="005C47B7"/>
    <w:rsid w:val="005C4B0B"/>
    <w:rsid w:val="005C4DBB"/>
    <w:rsid w:val="005C507A"/>
    <w:rsid w:val="005C555F"/>
    <w:rsid w:val="005C58B8"/>
    <w:rsid w:val="005C7938"/>
    <w:rsid w:val="005D02B0"/>
    <w:rsid w:val="005D040A"/>
    <w:rsid w:val="005D19FE"/>
    <w:rsid w:val="005D1CEF"/>
    <w:rsid w:val="005D4C8A"/>
    <w:rsid w:val="005D63EA"/>
    <w:rsid w:val="005D6595"/>
    <w:rsid w:val="005D7FB8"/>
    <w:rsid w:val="005E0DD0"/>
    <w:rsid w:val="005E19AE"/>
    <w:rsid w:val="005E1E27"/>
    <w:rsid w:val="005E20C0"/>
    <w:rsid w:val="005E2138"/>
    <w:rsid w:val="005E3CE4"/>
    <w:rsid w:val="005E4CFF"/>
    <w:rsid w:val="005E4F84"/>
    <w:rsid w:val="005E6D61"/>
    <w:rsid w:val="005E6EAC"/>
    <w:rsid w:val="005E795C"/>
    <w:rsid w:val="005E7C99"/>
    <w:rsid w:val="005F0C8D"/>
    <w:rsid w:val="005F31D6"/>
    <w:rsid w:val="005F3523"/>
    <w:rsid w:val="006009AA"/>
    <w:rsid w:val="00601C67"/>
    <w:rsid w:val="0060556D"/>
    <w:rsid w:val="00607209"/>
    <w:rsid w:val="0061069E"/>
    <w:rsid w:val="0061245B"/>
    <w:rsid w:val="006124E4"/>
    <w:rsid w:val="00612CC6"/>
    <w:rsid w:val="00613926"/>
    <w:rsid w:val="00613DF8"/>
    <w:rsid w:val="0061488E"/>
    <w:rsid w:val="00615A54"/>
    <w:rsid w:val="00616E14"/>
    <w:rsid w:val="00620ED4"/>
    <w:rsid w:val="006215B9"/>
    <w:rsid w:val="00621D55"/>
    <w:rsid w:val="006230FF"/>
    <w:rsid w:val="00623E1E"/>
    <w:rsid w:val="00624147"/>
    <w:rsid w:val="0062691E"/>
    <w:rsid w:val="006302DA"/>
    <w:rsid w:val="00630601"/>
    <w:rsid w:val="00630A83"/>
    <w:rsid w:val="00633BAC"/>
    <w:rsid w:val="00634389"/>
    <w:rsid w:val="00634BCB"/>
    <w:rsid w:val="00634DE0"/>
    <w:rsid w:val="00635951"/>
    <w:rsid w:val="00640071"/>
    <w:rsid w:val="006411F2"/>
    <w:rsid w:val="00642F4D"/>
    <w:rsid w:val="00643742"/>
    <w:rsid w:val="006438CB"/>
    <w:rsid w:val="006438E1"/>
    <w:rsid w:val="00644F1F"/>
    <w:rsid w:val="0064558E"/>
    <w:rsid w:val="00646570"/>
    <w:rsid w:val="006476A0"/>
    <w:rsid w:val="0064776E"/>
    <w:rsid w:val="00647CC2"/>
    <w:rsid w:val="006504F6"/>
    <w:rsid w:val="00651A64"/>
    <w:rsid w:val="00655276"/>
    <w:rsid w:val="00655805"/>
    <w:rsid w:val="0065611B"/>
    <w:rsid w:val="00657D32"/>
    <w:rsid w:val="00661D36"/>
    <w:rsid w:val="006629E5"/>
    <w:rsid w:val="00664643"/>
    <w:rsid w:val="0066479A"/>
    <w:rsid w:val="0066606B"/>
    <w:rsid w:val="00670A71"/>
    <w:rsid w:val="006711A5"/>
    <w:rsid w:val="00671BA2"/>
    <w:rsid w:val="006722F8"/>
    <w:rsid w:val="006729C2"/>
    <w:rsid w:val="00672E18"/>
    <w:rsid w:val="006736D6"/>
    <w:rsid w:val="00675471"/>
    <w:rsid w:val="00675EA1"/>
    <w:rsid w:val="006838D8"/>
    <w:rsid w:val="00685322"/>
    <w:rsid w:val="0068595D"/>
    <w:rsid w:val="0068632C"/>
    <w:rsid w:val="00686838"/>
    <w:rsid w:val="00686B93"/>
    <w:rsid w:val="006879B2"/>
    <w:rsid w:val="00690C92"/>
    <w:rsid w:val="00691E97"/>
    <w:rsid w:val="00693D71"/>
    <w:rsid w:val="00695E4D"/>
    <w:rsid w:val="006965C2"/>
    <w:rsid w:val="006A1E92"/>
    <w:rsid w:val="006A3BE6"/>
    <w:rsid w:val="006A467B"/>
    <w:rsid w:val="006A4A2F"/>
    <w:rsid w:val="006A66BA"/>
    <w:rsid w:val="006A79B7"/>
    <w:rsid w:val="006B13A9"/>
    <w:rsid w:val="006B3DD5"/>
    <w:rsid w:val="006B5E67"/>
    <w:rsid w:val="006B64A5"/>
    <w:rsid w:val="006B7951"/>
    <w:rsid w:val="006C08FE"/>
    <w:rsid w:val="006C1DDB"/>
    <w:rsid w:val="006C24F4"/>
    <w:rsid w:val="006C2905"/>
    <w:rsid w:val="006C4124"/>
    <w:rsid w:val="006C465F"/>
    <w:rsid w:val="006C52C7"/>
    <w:rsid w:val="006C611C"/>
    <w:rsid w:val="006C62BF"/>
    <w:rsid w:val="006D03CA"/>
    <w:rsid w:val="006D25E1"/>
    <w:rsid w:val="006D3E6C"/>
    <w:rsid w:val="006D42FF"/>
    <w:rsid w:val="006D488B"/>
    <w:rsid w:val="006D52B9"/>
    <w:rsid w:val="006D5CB3"/>
    <w:rsid w:val="006E03CF"/>
    <w:rsid w:val="006E0670"/>
    <w:rsid w:val="006E1CEF"/>
    <w:rsid w:val="006E23A1"/>
    <w:rsid w:val="006E2543"/>
    <w:rsid w:val="006E2EEC"/>
    <w:rsid w:val="006E3163"/>
    <w:rsid w:val="006E4977"/>
    <w:rsid w:val="006E6720"/>
    <w:rsid w:val="006F1981"/>
    <w:rsid w:val="006F28F5"/>
    <w:rsid w:val="006F3FA1"/>
    <w:rsid w:val="006F5B3E"/>
    <w:rsid w:val="006F6E8F"/>
    <w:rsid w:val="006F7A43"/>
    <w:rsid w:val="006F7E72"/>
    <w:rsid w:val="007004B2"/>
    <w:rsid w:val="00701172"/>
    <w:rsid w:val="00704D60"/>
    <w:rsid w:val="00705176"/>
    <w:rsid w:val="00710CD7"/>
    <w:rsid w:val="007142A2"/>
    <w:rsid w:val="0071458F"/>
    <w:rsid w:val="00714735"/>
    <w:rsid w:val="00714920"/>
    <w:rsid w:val="00714ACC"/>
    <w:rsid w:val="00716BBD"/>
    <w:rsid w:val="007176C0"/>
    <w:rsid w:val="00720913"/>
    <w:rsid w:val="0072355F"/>
    <w:rsid w:val="00724CAD"/>
    <w:rsid w:val="0072521C"/>
    <w:rsid w:val="00725259"/>
    <w:rsid w:val="00726162"/>
    <w:rsid w:val="007263EF"/>
    <w:rsid w:val="00726494"/>
    <w:rsid w:val="007314C7"/>
    <w:rsid w:val="00733136"/>
    <w:rsid w:val="00734B24"/>
    <w:rsid w:val="00736045"/>
    <w:rsid w:val="007368CB"/>
    <w:rsid w:val="00736BE7"/>
    <w:rsid w:val="00737909"/>
    <w:rsid w:val="00737BA2"/>
    <w:rsid w:val="007404C4"/>
    <w:rsid w:val="00740A12"/>
    <w:rsid w:val="00740C65"/>
    <w:rsid w:val="00742ACA"/>
    <w:rsid w:val="00742CC5"/>
    <w:rsid w:val="00744048"/>
    <w:rsid w:val="00744BA5"/>
    <w:rsid w:val="007456FC"/>
    <w:rsid w:val="00746CFA"/>
    <w:rsid w:val="0074797C"/>
    <w:rsid w:val="007501EF"/>
    <w:rsid w:val="0075157C"/>
    <w:rsid w:val="00751701"/>
    <w:rsid w:val="00752234"/>
    <w:rsid w:val="00752756"/>
    <w:rsid w:val="007528F6"/>
    <w:rsid w:val="00752B13"/>
    <w:rsid w:val="00752BBC"/>
    <w:rsid w:val="007532D1"/>
    <w:rsid w:val="00753F6C"/>
    <w:rsid w:val="00756883"/>
    <w:rsid w:val="00756902"/>
    <w:rsid w:val="00756F24"/>
    <w:rsid w:val="007570B6"/>
    <w:rsid w:val="00757105"/>
    <w:rsid w:val="00757DF8"/>
    <w:rsid w:val="00760B62"/>
    <w:rsid w:val="00760E18"/>
    <w:rsid w:val="007614E9"/>
    <w:rsid w:val="0076155D"/>
    <w:rsid w:val="00762508"/>
    <w:rsid w:val="00763439"/>
    <w:rsid w:val="00765C31"/>
    <w:rsid w:val="007670A0"/>
    <w:rsid w:val="00770047"/>
    <w:rsid w:val="007705B7"/>
    <w:rsid w:val="0077260F"/>
    <w:rsid w:val="00774C1B"/>
    <w:rsid w:val="00774F69"/>
    <w:rsid w:val="007764BB"/>
    <w:rsid w:val="00780322"/>
    <w:rsid w:val="00781C84"/>
    <w:rsid w:val="0078363C"/>
    <w:rsid w:val="00784491"/>
    <w:rsid w:val="007846E7"/>
    <w:rsid w:val="00785083"/>
    <w:rsid w:val="00785B41"/>
    <w:rsid w:val="00787173"/>
    <w:rsid w:val="00790EDF"/>
    <w:rsid w:val="00792F15"/>
    <w:rsid w:val="007932A4"/>
    <w:rsid w:val="00793736"/>
    <w:rsid w:val="00794FF2"/>
    <w:rsid w:val="007A1852"/>
    <w:rsid w:val="007A1B8F"/>
    <w:rsid w:val="007A2A81"/>
    <w:rsid w:val="007A30B6"/>
    <w:rsid w:val="007A48F5"/>
    <w:rsid w:val="007A4D5B"/>
    <w:rsid w:val="007A4F63"/>
    <w:rsid w:val="007A582D"/>
    <w:rsid w:val="007A63D7"/>
    <w:rsid w:val="007A6C27"/>
    <w:rsid w:val="007B2248"/>
    <w:rsid w:val="007B397A"/>
    <w:rsid w:val="007B484B"/>
    <w:rsid w:val="007B48FB"/>
    <w:rsid w:val="007B5BA8"/>
    <w:rsid w:val="007B63D6"/>
    <w:rsid w:val="007C38F5"/>
    <w:rsid w:val="007C3A4F"/>
    <w:rsid w:val="007C62E1"/>
    <w:rsid w:val="007C6E3B"/>
    <w:rsid w:val="007C74CF"/>
    <w:rsid w:val="007D1A3D"/>
    <w:rsid w:val="007D38F9"/>
    <w:rsid w:val="007D395E"/>
    <w:rsid w:val="007D411B"/>
    <w:rsid w:val="007D6534"/>
    <w:rsid w:val="007D7DFF"/>
    <w:rsid w:val="007E26FF"/>
    <w:rsid w:val="007E3303"/>
    <w:rsid w:val="007E38BF"/>
    <w:rsid w:val="007E3BE2"/>
    <w:rsid w:val="007E4170"/>
    <w:rsid w:val="007E50F1"/>
    <w:rsid w:val="007E599D"/>
    <w:rsid w:val="007E5F0E"/>
    <w:rsid w:val="007E6360"/>
    <w:rsid w:val="007E7F25"/>
    <w:rsid w:val="007F3F83"/>
    <w:rsid w:val="007F6E05"/>
    <w:rsid w:val="00800F17"/>
    <w:rsid w:val="00801C06"/>
    <w:rsid w:val="008064FD"/>
    <w:rsid w:val="00806EC1"/>
    <w:rsid w:val="0080768A"/>
    <w:rsid w:val="00810D01"/>
    <w:rsid w:val="00811B51"/>
    <w:rsid w:val="00811F16"/>
    <w:rsid w:val="00812051"/>
    <w:rsid w:val="00812D3D"/>
    <w:rsid w:val="00814176"/>
    <w:rsid w:val="008148D7"/>
    <w:rsid w:val="00815705"/>
    <w:rsid w:val="00816B45"/>
    <w:rsid w:val="008174F7"/>
    <w:rsid w:val="00817AF5"/>
    <w:rsid w:val="00822689"/>
    <w:rsid w:val="00823295"/>
    <w:rsid w:val="008236BD"/>
    <w:rsid w:val="008246D1"/>
    <w:rsid w:val="008247E6"/>
    <w:rsid w:val="00825B09"/>
    <w:rsid w:val="00826927"/>
    <w:rsid w:val="00827753"/>
    <w:rsid w:val="00830489"/>
    <w:rsid w:val="00830F50"/>
    <w:rsid w:val="00831FF8"/>
    <w:rsid w:val="008321BF"/>
    <w:rsid w:val="00832BCE"/>
    <w:rsid w:val="00836CC8"/>
    <w:rsid w:val="00841A85"/>
    <w:rsid w:val="00842917"/>
    <w:rsid w:val="00843D81"/>
    <w:rsid w:val="00844C3D"/>
    <w:rsid w:val="008469B3"/>
    <w:rsid w:val="008473D2"/>
    <w:rsid w:val="0084768E"/>
    <w:rsid w:val="00852860"/>
    <w:rsid w:val="00852E7E"/>
    <w:rsid w:val="00853AC9"/>
    <w:rsid w:val="00853BB2"/>
    <w:rsid w:val="0085424B"/>
    <w:rsid w:val="008566FE"/>
    <w:rsid w:val="00865A9E"/>
    <w:rsid w:val="008662B7"/>
    <w:rsid w:val="00866B9F"/>
    <w:rsid w:val="00867071"/>
    <w:rsid w:val="0086781F"/>
    <w:rsid w:val="00871C6E"/>
    <w:rsid w:val="00872BDF"/>
    <w:rsid w:val="00872FC5"/>
    <w:rsid w:val="00875259"/>
    <w:rsid w:val="0087593B"/>
    <w:rsid w:val="00876E63"/>
    <w:rsid w:val="008805A0"/>
    <w:rsid w:val="00880A54"/>
    <w:rsid w:val="00881023"/>
    <w:rsid w:val="00883D8A"/>
    <w:rsid w:val="00885EEC"/>
    <w:rsid w:val="00890DF8"/>
    <w:rsid w:val="008916F6"/>
    <w:rsid w:val="00891D48"/>
    <w:rsid w:val="00893DAE"/>
    <w:rsid w:val="00894481"/>
    <w:rsid w:val="00896ED1"/>
    <w:rsid w:val="00897FBB"/>
    <w:rsid w:val="008A0123"/>
    <w:rsid w:val="008A0406"/>
    <w:rsid w:val="008A17FD"/>
    <w:rsid w:val="008A1AD9"/>
    <w:rsid w:val="008A3765"/>
    <w:rsid w:val="008A4A0F"/>
    <w:rsid w:val="008A4D8F"/>
    <w:rsid w:val="008A559F"/>
    <w:rsid w:val="008A7E31"/>
    <w:rsid w:val="008B1BF3"/>
    <w:rsid w:val="008B396D"/>
    <w:rsid w:val="008B5282"/>
    <w:rsid w:val="008B6548"/>
    <w:rsid w:val="008B7D83"/>
    <w:rsid w:val="008C01A5"/>
    <w:rsid w:val="008C0A49"/>
    <w:rsid w:val="008C24D6"/>
    <w:rsid w:val="008C4842"/>
    <w:rsid w:val="008C7B6C"/>
    <w:rsid w:val="008D0180"/>
    <w:rsid w:val="008D16A8"/>
    <w:rsid w:val="008D17E2"/>
    <w:rsid w:val="008D1924"/>
    <w:rsid w:val="008D1BAE"/>
    <w:rsid w:val="008D4D6E"/>
    <w:rsid w:val="008D593A"/>
    <w:rsid w:val="008D6CE6"/>
    <w:rsid w:val="008D7614"/>
    <w:rsid w:val="008D7689"/>
    <w:rsid w:val="008E13E9"/>
    <w:rsid w:val="008E15C6"/>
    <w:rsid w:val="008E2355"/>
    <w:rsid w:val="008E654F"/>
    <w:rsid w:val="008E6ADD"/>
    <w:rsid w:val="008F00E3"/>
    <w:rsid w:val="008F0C52"/>
    <w:rsid w:val="008F2435"/>
    <w:rsid w:val="008F4677"/>
    <w:rsid w:val="008F5518"/>
    <w:rsid w:val="008F5F04"/>
    <w:rsid w:val="008F60BA"/>
    <w:rsid w:val="008F6227"/>
    <w:rsid w:val="008F6E7C"/>
    <w:rsid w:val="008F74DF"/>
    <w:rsid w:val="00900809"/>
    <w:rsid w:val="0090403D"/>
    <w:rsid w:val="009048D7"/>
    <w:rsid w:val="00905E97"/>
    <w:rsid w:val="00906833"/>
    <w:rsid w:val="00907051"/>
    <w:rsid w:val="00912718"/>
    <w:rsid w:val="009137CE"/>
    <w:rsid w:val="00915A9C"/>
    <w:rsid w:val="00916E9C"/>
    <w:rsid w:val="00920232"/>
    <w:rsid w:val="00924776"/>
    <w:rsid w:val="009267F1"/>
    <w:rsid w:val="00932B82"/>
    <w:rsid w:val="00933FF6"/>
    <w:rsid w:val="00934F23"/>
    <w:rsid w:val="009355A1"/>
    <w:rsid w:val="009358E9"/>
    <w:rsid w:val="00935CE8"/>
    <w:rsid w:val="00935E0D"/>
    <w:rsid w:val="00937C7E"/>
    <w:rsid w:val="00937E1D"/>
    <w:rsid w:val="00943580"/>
    <w:rsid w:val="0094406A"/>
    <w:rsid w:val="00944151"/>
    <w:rsid w:val="00945C46"/>
    <w:rsid w:val="00946E94"/>
    <w:rsid w:val="009474A7"/>
    <w:rsid w:val="00954F66"/>
    <w:rsid w:val="0095534C"/>
    <w:rsid w:val="009569C1"/>
    <w:rsid w:val="00957443"/>
    <w:rsid w:val="00957F2C"/>
    <w:rsid w:val="00962BB9"/>
    <w:rsid w:val="00962C1C"/>
    <w:rsid w:val="00963073"/>
    <w:rsid w:val="00963883"/>
    <w:rsid w:val="00964154"/>
    <w:rsid w:val="009652D5"/>
    <w:rsid w:val="009659D5"/>
    <w:rsid w:val="00965DFE"/>
    <w:rsid w:val="00965F9E"/>
    <w:rsid w:val="009663BD"/>
    <w:rsid w:val="00966FB0"/>
    <w:rsid w:val="009703C4"/>
    <w:rsid w:val="009740D7"/>
    <w:rsid w:val="0097487F"/>
    <w:rsid w:val="00974AF2"/>
    <w:rsid w:val="00974C81"/>
    <w:rsid w:val="00974D3A"/>
    <w:rsid w:val="0097537E"/>
    <w:rsid w:val="00977119"/>
    <w:rsid w:val="00982A32"/>
    <w:rsid w:val="00982A98"/>
    <w:rsid w:val="00984237"/>
    <w:rsid w:val="00985C69"/>
    <w:rsid w:val="009861F9"/>
    <w:rsid w:val="0098715D"/>
    <w:rsid w:val="0098720B"/>
    <w:rsid w:val="009879B9"/>
    <w:rsid w:val="00987BBD"/>
    <w:rsid w:val="00990359"/>
    <w:rsid w:val="009925FC"/>
    <w:rsid w:val="00992892"/>
    <w:rsid w:val="0099544B"/>
    <w:rsid w:val="0099704C"/>
    <w:rsid w:val="009A265C"/>
    <w:rsid w:val="009A2A48"/>
    <w:rsid w:val="009A3B60"/>
    <w:rsid w:val="009A50CD"/>
    <w:rsid w:val="009A5703"/>
    <w:rsid w:val="009A6B5C"/>
    <w:rsid w:val="009A6DAE"/>
    <w:rsid w:val="009A6F59"/>
    <w:rsid w:val="009B0955"/>
    <w:rsid w:val="009B09CA"/>
    <w:rsid w:val="009B2B19"/>
    <w:rsid w:val="009B2EF1"/>
    <w:rsid w:val="009B49B9"/>
    <w:rsid w:val="009B4A1C"/>
    <w:rsid w:val="009B57E8"/>
    <w:rsid w:val="009B71E4"/>
    <w:rsid w:val="009B7729"/>
    <w:rsid w:val="009C03F9"/>
    <w:rsid w:val="009C1297"/>
    <w:rsid w:val="009C139B"/>
    <w:rsid w:val="009C351B"/>
    <w:rsid w:val="009C35DD"/>
    <w:rsid w:val="009D1A77"/>
    <w:rsid w:val="009D21A4"/>
    <w:rsid w:val="009D2B30"/>
    <w:rsid w:val="009D4CC4"/>
    <w:rsid w:val="009E0255"/>
    <w:rsid w:val="009E04CF"/>
    <w:rsid w:val="009E06BD"/>
    <w:rsid w:val="009E2388"/>
    <w:rsid w:val="009E3165"/>
    <w:rsid w:val="009E45FE"/>
    <w:rsid w:val="009E4FD2"/>
    <w:rsid w:val="009E575D"/>
    <w:rsid w:val="009E60B4"/>
    <w:rsid w:val="009E6C55"/>
    <w:rsid w:val="009F0D06"/>
    <w:rsid w:val="009F36C8"/>
    <w:rsid w:val="009F44E3"/>
    <w:rsid w:val="009F4F53"/>
    <w:rsid w:val="009F52C2"/>
    <w:rsid w:val="00A01AF2"/>
    <w:rsid w:val="00A07406"/>
    <w:rsid w:val="00A07769"/>
    <w:rsid w:val="00A10D87"/>
    <w:rsid w:val="00A11196"/>
    <w:rsid w:val="00A13BBC"/>
    <w:rsid w:val="00A154A1"/>
    <w:rsid w:val="00A206AC"/>
    <w:rsid w:val="00A20805"/>
    <w:rsid w:val="00A21A44"/>
    <w:rsid w:val="00A22FDB"/>
    <w:rsid w:val="00A25396"/>
    <w:rsid w:val="00A277C9"/>
    <w:rsid w:val="00A305B3"/>
    <w:rsid w:val="00A30E58"/>
    <w:rsid w:val="00A31383"/>
    <w:rsid w:val="00A31CCA"/>
    <w:rsid w:val="00A34F91"/>
    <w:rsid w:val="00A35803"/>
    <w:rsid w:val="00A36A71"/>
    <w:rsid w:val="00A37D06"/>
    <w:rsid w:val="00A40C97"/>
    <w:rsid w:val="00A4380D"/>
    <w:rsid w:val="00A4568D"/>
    <w:rsid w:val="00A470B4"/>
    <w:rsid w:val="00A470F8"/>
    <w:rsid w:val="00A47393"/>
    <w:rsid w:val="00A50456"/>
    <w:rsid w:val="00A50C99"/>
    <w:rsid w:val="00A5147F"/>
    <w:rsid w:val="00A52516"/>
    <w:rsid w:val="00A53FA0"/>
    <w:rsid w:val="00A55528"/>
    <w:rsid w:val="00A56F78"/>
    <w:rsid w:val="00A63064"/>
    <w:rsid w:val="00A66165"/>
    <w:rsid w:val="00A6718B"/>
    <w:rsid w:val="00A70CE6"/>
    <w:rsid w:val="00A70EEE"/>
    <w:rsid w:val="00A710FF"/>
    <w:rsid w:val="00A71DAE"/>
    <w:rsid w:val="00A72510"/>
    <w:rsid w:val="00A72604"/>
    <w:rsid w:val="00A73188"/>
    <w:rsid w:val="00A73C5C"/>
    <w:rsid w:val="00A75877"/>
    <w:rsid w:val="00A7689D"/>
    <w:rsid w:val="00A77082"/>
    <w:rsid w:val="00A77EB6"/>
    <w:rsid w:val="00A8184A"/>
    <w:rsid w:val="00A81F01"/>
    <w:rsid w:val="00A820DE"/>
    <w:rsid w:val="00A82C41"/>
    <w:rsid w:val="00A83E6C"/>
    <w:rsid w:val="00A85B2B"/>
    <w:rsid w:val="00A926DA"/>
    <w:rsid w:val="00A9295D"/>
    <w:rsid w:val="00A93561"/>
    <w:rsid w:val="00A9556D"/>
    <w:rsid w:val="00A96A83"/>
    <w:rsid w:val="00A97252"/>
    <w:rsid w:val="00AA227D"/>
    <w:rsid w:val="00AA22F3"/>
    <w:rsid w:val="00AA252C"/>
    <w:rsid w:val="00AA4B81"/>
    <w:rsid w:val="00AB03BC"/>
    <w:rsid w:val="00AB085D"/>
    <w:rsid w:val="00AB117D"/>
    <w:rsid w:val="00AB14C7"/>
    <w:rsid w:val="00AB591E"/>
    <w:rsid w:val="00AB6994"/>
    <w:rsid w:val="00AB6C58"/>
    <w:rsid w:val="00AC04D1"/>
    <w:rsid w:val="00AC0BE9"/>
    <w:rsid w:val="00AC27D3"/>
    <w:rsid w:val="00AC3806"/>
    <w:rsid w:val="00AC3C9E"/>
    <w:rsid w:val="00AC448B"/>
    <w:rsid w:val="00AC636D"/>
    <w:rsid w:val="00AC682C"/>
    <w:rsid w:val="00AC72D1"/>
    <w:rsid w:val="00AD0E00"/>
    <w:rsid w:val="00AD19C2"/>
    <w:rsid w:val="00AD3F7F"/>
    <w:rsid w:val="00AD674C"/>
    <w:rsid w:val="00AD6E16"/>
    <w:rsid w:val="00AE0AA9"/>
    <w:rsid w:val="00AE138B"/>
    <w:rsid w:val="00AE1C53"/>
    <w:rsid w:val="00AE22BE"/>
    <w:rsid w:val="00AE23A8"/>
    <w:rsid w:val="00AE2AED"/>
    <w:rsid w:val="00AE3705"/>
    <w:rsid w:val="00AE3D2D"/>
    <w:rsid w:val="00AE560C"/>
    <w:rsid w:val="00AE618C"/>
    <w:rsid w:val="00AE63F2"/>
    <w:rsid w:val="00AE6A74"/>
    <w:rsid w:val="00AF2A63"/>
    <w:rsid w:val="00AF535B"/>
    <w:rsid w:val="00AF536A"/>
    <w:rsid w:val="00AF69EE"/>
    <w:rsid w:val="00B00133"/>
    <w:rsid w:val="00B00B65"/>
    <w:rsid w:val="00B0360C"/>
    <w:rsid w:val="00B054A2"/>
    <w:rsid w:val="00B0777C"/>
    <w:rsid w:val="00B07CF0"/>
    <w:rsid w:val="00B1152D"/>
    <w:rsid w:val="00B1229C"/>
    <w:rsid w:val="00B12AC0"/>
    <w:rsid w:val="00B1391E"/>
    <w:rsid w:val="00B14BDD"/>
    <w:rsid w:val="00B16C9E"/>
    <w:rsid w:val="00B16F23"/>
    <w:rsid w:val="00B16F9F"/>
    <w:rsid w:val="00B17F25"/>
    <w:rsid w:val="00B2082E"/>
    <w:rsid w:val="00B220B0"/>
    <w:rsid w:val="00B235AA"/>
    <w:rsid w:val="00B2473D"/>
    <w:rsid w:val="00B27BD2"/>
    <w:rsid w:val="00B307D7"/>
    <w:rsid w:val="00B32697"/>
    <w:rsid w:val="00B33070"/>
    <w:rsid w:val="00B34745"/>
    <w:rsid w:val="00B34CBF"/>
    <w:rsid w:val="00B34DE6"/>
    <w:rsid w:val="00B35881"/>
    <w:rsid w:val="00B402FC"/>
    <w:rsid w:val="00B43C5B"/>
    <w:rsid w:val="00B44D4F"/>
    <w:rsid w:val="00B46827"/>
    <w:rsid w:val="00B46B6E"/>
    <w:rsid w:val="00B46C10"/>
    <w:rsid w:val="00B46E76"/>
    <w:rsid w:val="00B47385"/>
    <w:rsid w:val="00B50EC4"/>
    <w:rsid w:val="00B536A7"/>
    <w:rsid w:val="00B55800"/>
    <w:rsid w:val="00B56460"/>
    <w:rsid w:val="00B572F1"/>
    <w:rsid w:val="00B60C08"/>
    <w:rsid w:val="00B6142C"/>
    <w:rsid w:val="00B620C1"/>
    <w:rsid w:val="00B62B41"/>
    <w:rsid w:val="00B63332"/>
    <w:rsid w:val="00B638BF"/>
    <w:rsid w:val="00B6648B"/>
    <w:rsid w:val="00B667FE"/>
    <w:rsid w:val="00B71024"/>
    <w:rsid w:val="00B7115E"/>
    <w:rsid w:val="00B74CF8"/>
    <w:rsid w:val="00B7507D"/>
    <w:rsid w:val="00B75983"/>
    <w:rsid w:val="00B77C54"/>
    <w:rsid w:val="00B829ED"/>
    <w:rsid w:val="00B84D9D"/>
    <w:rsid w:val="00B85462"/>
    <w:rsid w:val="00B8595E"/>
    <w:rsid w:val="00B913AD"/>
    <w:rsid w:val="00B914DA"/>
    <w:rsid w:val="00B941CB"/>
    <w:rsid w:val="00B961A6"/>
    <w:rsid w:val="00BA083B"/>
    <w:rsid w:val="00BA27C6"/>
    <w:rsid w:val="00BA3663"/>
    <w:rsid w:val="00BA5A8B"/>
    <w:rsid w:val="00BA66D1"/>
    <w:rsid w:val="00BA6FBF"/>
    <w:rsid w:val="00BA70E3"/>
    <w:rsid w:val="00BA70F4"/>
    <w:rsid w:val="00BB34BA"/>
    <w:rsid w:val="00BB3F1D"/>
    <w:rsid w:val="00BB443E"/>
    <w:rsid w:val="00BB496B"/>
    <w:rsid w:val="00BB5C37"/>
    <w:rsid w:val="00BB6906"/>
    <w:rsid w:val="00BB6D7C"/>
    <w:rsid w:val="00BC0A58"/>
    <w:rsid w:val="00BC4604"/>
    <w:rsid w:val="00BC624F"/>
    <w:rsid w:val="00BC65DA"/>
    <w:rsid w:val="00BC764B"/>
    <w:rsid w:val="00BC7EE0"/>
    <w:rsid w:val="00BD0176"/>
    <w:rsid w:val="00BD6477"/>
    <w:rsid w:val="00BD72AA"/>
    <w:rsid w:val="00BE147C"/>
    <w:rsid w:val="00BE2DD8"/>
    <w:rsid w:val="00BE4FAF"/>
    <w:rsid w:val="00BE6531"/>
    <w:rsid w:val="00BF0797"/>
    <w:rsid w:val="00BF15BE"/>
    <w:rsid w:val="00BF1669"/>
    <w:rsid w:val="00BF221C"/>
    <w:rsid w:val="00BF2744"/>
    <w:rsid w:val="00BF2755"/>
    <w:rsid w:val="00BF29F0"/>
    <w:rsid w:val="00BF3774"/>
    <w:rsid w:val="00BF3F36"/>
    <w:rsid w:val="00BF632F"/>
    <w:rsid w:val="00BF6AB6"/>
    <w:rsid w:val="00C027AB"/>
    <w:rsid w:val="00C02F15"/>
    <w:rsid w:val="00C036BF"/>
    <w:rsid w:val="00C043ED"/>
    <w:rsid w:val="00C047DF"/>
    <w:rsid w:val="00C04B6D"/>
    <w:rsid w:val="00C1288B"/>
    <w:rsid w:val="00C14702"/>
    <w:rsid w:val="00C1474E"/>
    <w:rsid w:val="00C166EE"/>
    <w:rsid w:val="00C16A58"/>
    <w:rsid w:val="00C17020"/>
    <w:rsid w:val="00C176A6"/>
    <w:rsid w:val="00C17F71"/>
    <w:rsid w:val="00C20560"/>
    <w:rsid w:val="00C217EA"/>
    <w:rsid w:val="00C227BA"/>
    <w:rsid w:val="00C24CC4"/>
    <w:rsid w:val="00C267F7"/>
    <w:rsid w:val="00C3049F"/>
    <w:rsid w:val="00C32A56"/>
    <w:rsid w:val="00C32A8E"/>
    <w:rsid w:val="00C3463F"/>
    <w:rsid w:val="00C34A12"/>
    <w:rsid w:val="00C359EE"/>
    <w:rsid w:val="00C3659A"/>
    <w:rsid w:val="00C36D0B"/>
    <w:rsid w:val="00C3798C"/>
    <w:rsid w:val="00C37BCB"/>
    <w:rsid w:val="00C4105B"/>
    <w:rsid w:val="00C41212"/>
    <w:rsid w:val="00C424D8"/>
    <w:rsid w:val="00C43477"/>
    <w:rsid w:val="00C448B2"/>
    <w:rsid w:val="00C45B50"/>
    <w:rsid w:val="00C4783C"/>
    <w:rsid w:val="00C478D4"/>
    <w:rsid w:val="00C5240F"/>
    <w:rsid w:val="00C54691"/>
    <w:rsid w:val="00C55EA1"/>
    <w:rsid w:val="00C60BB2"/>
    <w:rsid w:val="00C62572"/>
    <w:rsid w:val="00C632A8"/>
    <w:rsid w:val="00C63A2A"/>
    <w:rsid w:val="00C64C40"/>
    <w:rsid w:val="00C67011"/>
    <w:rsid w:val="00C678CC"/>
    <w:rsid w:val="00C71244"/>
    <w:rsid w:val="00C713A9"/>
    <w:rsid w:val="00C71F6C"/>
    <w:rsid w:val="00C7282A"/>
    <w:rsid w:val="00C72B15"/>
    <w:rsid w:val="00C72C07"/>
    <w:rsid w:val="00C72CB6"/>
    <w:rsid w:val="00C738FC"/>
    <w:rsid w:val="00C762D8"/>
    <w:rsid w:val="00C81440"/>
    <w:rsid w:val="00C81631"/>
    <w:rsid w:val="00C83D3B"/>
    <w:rsid w:val="00C84812"/>
    <w:rsid w:val="00C84BB6"/>
    <w:rsid w:val="00C84F6D"/>
    <w:rsid w:val="00C867AB"/>
    <w:rsid w:val="00C86EE9"/>
    <w:rsid w:val="00C9338B"/>
    <w:rsid w:val="00C933D0"/>
    <w:rsid w:val="00C94FE5"/>
    <w:rsid w:val="00C978E7"/>
    <w:rsid w:val="00CA0767"/>
    <w:rsid w:val="00CA098E"/>
    <w:rsid w:val="00CA1AD2"/>
    <w:rsid w:val="00CA34FA"/>
    <w:rsid w:val="00CA50D9"/>
    <w:rsid w:val="00CA6CCE"/>
    <w:rsid w:val="00CB042D"/>
    <w:rsid w:val="00CB0A26"/>
    <w:rsid w:val="00CB3927"/>
    <w:rsid w:val="00CB6423"/>
    <w:rsid w:val="00CB6A78"/>
    <w:rsid w:val="00CB6BBF"/>
    <w:rsid w:val="00CC5444"/>
    <w:rsid w:val="00CD2766"/>
    <w:rsid w:val="00CD2DFF"/>
    <w:rsid w:val="00CD3427"/>
    <w:rsid w:val="00CD3DFE"/>
    <w:rsid w:val="00CD4FA2"/>
    <w:rsid w:val="00CD537D"/>
    <w:rsid w:val="00CD5910"/>
    <w:rsid w:val="00CD5975"/>
    <w:rsid w:val="00CD60A6"/>
    <w:rsid w:val="00CD74A4"/>
    <w:rsid w:val="00CD7B24"/>
    <w:rsid w:val="00CE1A15"/>
    <w:rsid w:val="00CE1F96"/>
    <w:rsid w:val="00CE300F"/>
    <w:rsid w:val="00CE3767"/>
    <w:rsid w:val="00CE3C3E"/>
    <w:rsid w:val="00CE6EFD"/>
    <w:rsid w:val="00CE75AA"/>
    <w:rsid w:val="00CF1AC9"/>
    <w:rsid w:val="00CF26C6"/>
    <w:rsid w:val="00CF288E"/>
    <w:rsid w:val="00CF44D8"/>
    <w:rsid w:val="00CF4A8D"/>
    <w:rsid w:val="00CF4B4C"/>
    <w:rsid w:val="00CF69EE"/>
    <w:rsid w:val="00D035BE"/>
    <w:rsid w:val="00D044A1"/>
    <w:rsid w:val="00D045D9"/>
    <w:rsid w:val="00D046B4"/>
    <w:rsid w:val="00D05A1C"/>
    <w:rsid w:val="00D07EF3"/>
    <w:rsid w:val="00D13256"/>
    <w:rsid w:val="00D13727"/>
    <w:rsid w:val="00D13C1D"/>
    <w:rsid w:val="00D13D1A"/>
    <w:rsid w:val="00D147E2"/>
    <w:rsid w:val="00D15763"/>
    <w:rsid w:val="00D1610C"/>
    <w:rsid w:val="00D16719"/>
    <w:rsid w:val="00D205D9"/>
    <w:rsid w:val="00D246DC"/>
    <w:rsid w:val="00D3072B"/>
    <w:rsid w:val="00D308AD"/>
    <w:rsid w:val="00D31353"/>
    <w:rsid w:val="00D314BB"/>
    <w:rsid w:val="00D319F2"/>
    <w:rsid w:val="00D3238A"/>
    <w:rsid w:val="00D33320"/>
    <w:rsid w:val="00D3617F"/>
    <w:rsid w:val="00D4007E"/>
    <w:rsid w:val="00D403DF"/>
    <w:rsid w:val="00D41027"/>
    <w:rsid w:val="00D41C5E"/>
    <w:rsid w:val="00D41EFF"/>
    <w:rsid w:val="00D42F35"/>
    <w:rsid w:val="00D42FFC"/>
    <w:rsid w:val="00D437A4"/>
    <w:rsid w:val="00D44523"/>
    <w:rsid w:val="00D44862"/>
    <w:rsid w:val="00D46403"/>
    <w:rsid w:val="00D50C41"/>
    <w:rsid w:val="00D521A9"/>
    <w:rsid w:val="00D55EB7"/>
    <w:rsid w:val="00D5623B"/>
    <w:rsid w:val="00D614D5"/>
    <w:rsid w:val="00D618AF"/>
    <w:rsid w:val="00D62997"/>
    <w:rsid w:val="00D64EB0"/>
    <w:rsid w:val="00D65FE3"/>
    <w:rsid w:val="00D67EE7"/>
    <w:rsid w:val="00D7036D"/>
    <w:rsid w:val="00D705EA"/>
    <w:rsid w:val="00D709F4"/>
    <w:rsid w:val="00D7163C"/>
    <w:rsid w:val="00D73075"/>
    <w:rsid w:val="00D8099E"/>
    <w:rsid w:val="00D82E46"/>
    <w:rsid w:val="00D830C1"/>
    <w:rsid w:val="00D84D95"/>
    <w:rsid w:val="00D91828"/>
    <w:rsid w:val="00D9613B"/>
    <w:rsid w:val="00D97300"/>
    <w:rsid w:val="00D97851"/>
    <w:rsid w:val="00DA09A7"/>
    <w:rsid w:val="00DA257A"/>
    <w:rsid w:val="00DA37C9"/>
    <w:rsid w:val="00DA37CE"/>
    <w:rsid w:val="00DA5B0E"/>
    <w:rsid w:val="00DA65E6"/>
    <w:rsid w:val="00DA66E8"/>
    <w:rsid w:val="00DB0C1C"/>
    <w:rsid w:val="00DB1EB2"/>
    <w:rsid w:val="00DB28B5"/>
    <w:rsid w:val="00DB327E"/>
    <w:rsid w:val="00DB69E8"/>
    <w:rsid w:val="00DB6F9C"/>
    <w:rsid w:val="00DB7D04"/>
    <w:rsid w:val="00DB7DED"/>
    <w:rsid w:val="00DC0AFB"/>
    <w:rsid w:val="00DC28DB"/>
    <w:rsid w:val="00DC3D3A"/>
    <w:rsid w:val="00DC3EF4"/>
    <w:rsid w:val="00DC3FA4"/>
    <w:rsid w:val="00DC4C7E"/>
    <w:rsid w:val="00DC5B54"/>
    <w:rsid w:val="00DC64DE"/>
    <w:rsid w:val="00DC65C9"/>
    <w:rsid w:val="00DC6965"/>
    <w:rsid w:val="00DC6BEC"/>
    <w:rsid w:val="00DC6C11"/>
    <w:rsid w:val="00DC784E"/>
    <w:rsid w:val="00DD0097"/>
    <w:rsid w:val="00DD1D54"/>
    <w:rsid w:val="00DD2CE2"/>
    <w:rsid w:val="00DD3092"/>
    <w:rsid w:val="00DD377D"/>
    <w:rsid w:val="00DD4D15"/>
    <w:rsid w:val="00DD5BB0"/>
    <w:rsid w:val="00DD640B"/>
    <w:rsid w:val="00DD6EB3"/>
    <w:rsid w:val="00DD70DD"/>
    <w:rsid w:val="00DD78B3"/>
    <w:rsid w:val="00DE1C8A"/>
    <w:rsid w:val="00DE39CC"/>
    <w:rsid w:val="00DE3D3F"/>
    <w:rsid w:val="00DE429C"/>
    <w:rsid w:val="00DE43BE"/>
    <w:rsid w:val="00DE52FF"/>
    <w:rsid w:val="00DE5BCD"/>
    <w:rsid w:val="00DE5F9D"/>
    <w:rsid w:val="00DE633B"/>
    <w:rsid w:val="00DE6466"/>
    <w:rsid w:val="00DE7929"/>
    <w:rsid w:val="00DF07F9"/>
    <w:rsid w:val="00DF4436"/>
    <w:rsid w:val="00DF6FF8"/>
    <w:rsid w:val="00DF76F7"/>
    <w:rsid w:val="00E00876"/>
    <w:rsid w:val="00E00F13"/>
    <w:rsid w:val="00E0283A"/>
    <w:rsid w:val="00E03371"/>
    <w:rsid w:val="00E058DE"/>
    <w:rsid w:val="00E05E48"/>
    <w:rsid w:val="00E068D5"/>
    <w:rsid w:val="00E11028"/>
    <w:rsid w:val="00E11DC4"/>
    <w:rsid w:val="00E11FCF"/>
    <w:rsid w:val="00E12339"/>
    <w:rsid w:val="00E149E5"/>
    <w:rsid w:val="00E1503B"/>
    <w:rsid w:val="00E15C29"/>
    <w:rsid w:val="00E21D8D"/>
    <w:rsid w:val="00E23819"/>
    <w:rsid w:val="00E24959"/>
    <w:rsid w:val="00E26E2F"/>
    <w:rsid w:val="00E27E49"/>
    <w:rsid w:val="00E310B1"/>
    <w:rsid w:val="00E32B1E"/>
    <w:rsid w:val="00E332AF"/>
    <w:rsid w:val="00E33C2B"/>
    <w:rsid w:val="00E346C3"/>
    <w:rsid w:val="00E34C12"/>
    <w:rsid w:val="00E35DE7"/>
    <w:rsid w:val="00E36985"/>
    <w:rsid w:val="00E3744B"/>
    <w:rsid w:val="00E40EC9"/>
    <w:rsid w:val="00E42157"/>
    <w:rsid w:val="00E421EC"/>
    <w:rsid w:val="00E43314"/>
    <w:rsid w:val="00E443E3"/>
    <w:rsid w:val="00E4538A"/>
    <w:rsid w:val="00E46BBE"/>
    <w:rsid w:val="00E470CB"/>
    <w:rsid w:val="00E47458"/>
    <w:rsid w:val="00E502CA"/>
    <w:rsid w:val="00E50434"/>
    <w:rsid w:val="00E517AE"/>
    <w:rsid w:val="00E55A53"/>
    <w:rsid w:val="00E563E1"/>
    <w:rsid w:val="00E56DFA"/>
    <w:rsid w:val="00E57D76"/>
    <w:rsid w:val="00E60D9A"/>
    <w:rsid w:val="00E63A2D"/>
    <w:rsid w:val="00E63E8C"/>
    <w:rsid w:val="00E64DAE"/>
    <w:rsid w:val="00E65900"/>
    <w:rsid w:val="00E65E8E"/>
    <w:rsid w:val="00E6696B"/>
    <w:rsid w:val="00E67E79"/>
    <w:rsid w:val="00E72ED1"/>
    <w:rsid w:val="00E72F8C"/>
    <w:rsid w:val="00E733CA"/>
    <w:rsid w:val="00E736B9"/>
    <w:rsid w:val="00E74D9A"/>
    <w:rsid w:val="00E76A33"/>
    <w:rsid w:val="00E81F4E"/>
    <w:rsid w:val="00E8276F"/>
    <w:rsid w:val="00E9031A"/>
    <w:rsid w:val="00E90394"/>
    <w:rsid w:val="00E90B0C"/>
    <w:rsid w:val="00E92111"/>
    <w:rsid w:val="00E922B5"/>
    <w:rsid w:val="00E9239F"/>
    <w:rsid w:val="00E94A75"/>
    <w:rsid w:val="00E95AE8"/>
    <w:rsid w:val="00E96CDD"/>
    <w:rsid w:val="00E977B8"/>
    <w:rsid w:val="00EA1E8C"/>
    <w:rsid w:val="00EA46BB"/>
    <w:rsid w:val="00EA67EE"/>
    <w:rsid w:val="00EA739B"/>
    <w:rsid w:val="00EB1C50"/>
    <w:rsid w:val="00EB23F0"/>
    <w:rsid w:val="00EB2480"/>
    <w:rsid w:val="00EB37B4"/>
    <w:rsid w:val="00EB450A"/>
    <w:rsid w:val="00EB75ED"/>
    <w:rsid w:val="00EC1D8F"/>
    <w:rsid w:val="00EC26C6"/>
    <w:rsid w:val="00EC5442"/>
    <w:rsid w:val="00EC67CA"/>
    <w:rsid w:val="00EC7DB9"/>
    <w:rsid w:val="00ED1013"/>
    <w:rsid w:val="00ED22AA"/>
    <w:rsid w:val="00ED3C3E"/>
    <w:rsid w:val="00ED3D08"/>
    <w:rsid w:val="00ED4C71"/>
    <w:rsid w:val="00ED6B81"/>
    <w:rsid w:val="00ED745D"/>
    <w:rsid w:val="00EE01D5"/>
    <w:rsid w:val="00EE0A87"/>
    <w:rsid w:val="00EE17D9"/>
    <w:rsid w:val="00EE24FC"/>
    <w:rsid w:val="00EE3575"/>
    <w:rsid w:val="00EE4826"/>
    <w:rsid w:val="00EE5D3D"/>
    <w:rsid w:val="00EF1257"/>
    <w:rsid w:val="00EF177A"/>
    <w:rsid w:val="00EF2A7C"/>
    <w:rsid w:val="00EF57AE"/>
    <w:rsid w:val="00EF5F81"/>
    <w:rsid w:val="00EF74A7"/>
    <w:rsid w:val="00F01960"/>
    <w:rsid w:val="00F02690"/>
    <w:rsid w:val="00F0472E"/>
    <w:rsid w:val="00F04F96"/>
    <w:rsid w:val="00F07020"/>
    <w:rsid w:val="00F077EE"/>
    <w:rsid w:val="00F11F9B"/>
    <w:rsid w:val="00F144F1"/>
    <w:rsid w:val="00F148A3"/>
    <w:rsid w:val="00F15471"/>
    <w:rsid w:val="00F15F7E"/>
    <w:rsid w:val="00F2206B"/>
    <w:rsid w:val="00F220D0"/>
    <w:rsid w:val="00F2336A"/>
    <w:rsid w:val="00F23BF2"/>
    <w:rsid w:val="00F24C2E"/>
    <w:rsid w:val="00F24F6B"/>
    <w:rsid w:val="00F2647F"/>
    <w:rsid w:val="00F26872"/>
    <w:rsid w:val="00F27B22"/>
    <w:rsid w:val="00F3068D"/>
    <w:rsid w:val="00F33437"/>
    <w:rsid w:val="00F33CFE"/>
    <w:rsid w:val="00F3487F"/>
    <w:rsid w:val="00F34993"/>
    <w:rsid w:val="00F34A3D"/>
    <w:rsid w:val="00F359CF"/>
    <w:rsid w:val="00F362C7"/>
    <w:rsid w:val="00F3740E"/>
    <w:rsid w:val="00F3782E"/>
    <w:rsid w:val="00F40849"/>
    <w:rsid w:val="00F4159C"/>
    <w:rsid w:val="00F43CD4"/>
    <w:rsid w:val="00F44177"/>
    <w:rsid w:val="00F4461F"/>
    <w:rsid w:val="00F44868"/>
    <w:rsid w:val="00F457FB"/>
    <w:rsid w:val="00F46B48"/>
    <w:rsid w:val="00F50C6E"/>
    <w:rsid w:val="00F51ACB"/>
    <w:rsid w:val="00F530A6"/>
    <w:rsid w:val="00F54658"/>
    <w:rsid w:val="00F55055"/>
    <w:rsid w:val="00F570BF"/>
    <w:rsid w:val="00F57B78"/>
    <w:rsid w:val="00F61534"/>
    <w:rsid w:val="00F61E4E"/>
    <w:rsid w:val="00F62588"/>
    <w:rsid w:val="00F63128"/>
    <w:rsid w:val="00F64F1D"/>
    <w:rsid w:val="00F67D8D"/>
    <w:rsid w:val="00F67DB3"/>
    <w:rsid w:val="00F713D0"/>
    <w:rsid w:val="00F71B42"/>
    <w:rsid w:val="00F738D1"/>
    <w:rsid w:val="00F746E5"/>
    <w:rsid w:val="00F75B13"/>
    <w:rsid w:val="00F76CED"/>
    <w:rsid w:val="00F8191A"/>
    <w:rsid w:val="00F82B99"/>
    <w:rsid w:val="00F841A9"/>
    <w:rsid w:val="00F86D4F"/>
    <w:rsid w:val="00F91DCD"/>
    <w:rsid w:val="00F92E4F"/>
    <w:rsid w:val="00F94E7E"/>
    <w:rsid w:val="00F96246"/>
    <w:rsid w:val="00F97F57"/>
    <w:rsid w:val="00FA1075"/>
    <w:rsid w:val="00FA15A5"/>
    <w:rsid w:val="00FA2D62"/>
    <w:rsid w:val="00FA3582"/>
    <w:rsid w:val="00FA3E0E"/>
    <w:rsid w:val="00FA3FDA"/>
    <w:rsid w:val="00FA5DD8"/>
    <w:rsid w:val="00FB129D"/>
    <w:rsid w:val="00FB157F"/>
    <w:rsid w:val="00FB2661"/>
    <w:rsid w:val="00FB6454"/>
    <w:rsid w:val="00FB7664"/>
    <w:rsid w:val="00FB7B38"/>
    <w:rsid w:val="00FB7FD9"/>
    <w:rsid w:val="00FC3627"/>
    <w:rsid w:val="00FC372D"/>
    <w:rsid w:val="00FC713A"/>
    <w:rsid w:val="00FD07CE"/>
    <w:rsid w:val="00FD1D89"/>
    <w:rsid w:val="00FD2F7B"/>
    <w:rsid w:val="00FD402D"/>
    <w:rsid w:val="00FD60FE"/>
    <w:rsid w:val="00FD61F9"/>
    <w:rsid w:val="00FD6B30"/>
    <w:rsid w:val="00FD7BE7"/>
    <w:rsid w:val="00FE05E6"/>
    <w:rsid w:val="00FE25C4"/>
    <w:rsid w:val="00FE40C4"/>
    <w:rsid w:val="00FE44D4"/>
    <w:rsid w:val="00FE5502"/>
    <w:rsid w:val="00FE58A6"/>
    <w:rsid w:val="00FE5FB1"/>
    <w:rsid w:val="00FE632C"/>
    <w:rsid w:val="00FE7060"/>
    <w:rsid w:val="00FE7541"/>
    <w:rsid w:val="00FE7EF9"/>
    <w:rsid w:val="00FF06B9"/>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277C"/>
  <w15:docId w15:val="{3E653163-2C7D-4CFE-A246-EE3C55A7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31"/>
  </w:style>
  <w:style w:type="paragraph" w:styleId="Heading1">
    <w:name w:val="heading 1"/>
    <w:basedOn w:val="Normal"/>
    <w:next w:val="Normal"/>
    <w:link w:val="Heading1Char"/>
    <w:uiPriority w:val="9"/>
    <w:qFormat/>
    <w:rsid w:val="00352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7E3"/>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457B5A"/>
    <w:pPr>
      <w:spacing w:after="0" w:line="240" w:lineRule="auto"/>
    </w:pPr>
  </w:style>
  <w:style w:type="table" w:styleId="TableGrid">
    <w:name w:val="Table Grid"/>
    <w:basedOn w:val="TableNormal"/>
    <w:uiPriority w:val="59"/>
    <w:rsid w:val="0045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D7F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41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51"/>
    <w:rPr>
      <w:rFonts w:ascii="Tahoma" w:hAnsi="Tahoma" w:cs="Tahoma"/>
      <w:sz w:val="16"/>
      <w:szCs w:val="16"/>
    </w:rPr>
  </w:style>
  <w:style w:type="paragraph" w:styleId="ListParagraph">
    <w:name w:val="List Paragraph"/>
    <w:basedOn w:val="Normal"/>
    <w:uiPriority w:val="34"/>
    <w:qFormat/>
    <w:rsid w:val="0039590F"/>
    <w:pPr>
      <w:spacing w:after="0" w:line="240" w:lineRule="auto"/>
      <w:ind w:left="720"/>
    </w:pPr>
    <w:rPr>
      <w:rFonts w:ascii="Calibri" w:hAnsi="Calibri" w:cs="Calibri"/>
    </w:rPr>
  </w:style>
  <w:style w:type="paragraph" w:styleId="NormalWeb">
    <w:name w:val="Normal (Web)"/>
    <w:basedOn w:val="Normal"/>
    <w:uiPriority w:val="99"/>
    <w:semiHidden/>
    <w:unhideWhenUsed/>
    <w:rsid w:val="008B7D8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43C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3CD4"/>
    <w:rPr>
      <w:rFonts w:ascii="Consolas" w:hAnsi="Consolas"/>
      <w:sz w:val="21"/>
      <w:szCs w:val="21"/>
    </w:rPr>
  </w:style>
  <w:style w:type="character" w:styleId="Strong">
    <w:name w:val="Strong"/>
    <w:basedOn w:val="DefaultParagraphFont"/>
    <w:uiPriority w:val="22"/>
    <w:qFormat/>
    <w:rsid w:val="00BF3F36"/>
    <w:rPr>
      <w:b/>
      <w:bCs/>
    </w:rPr>
  </w:style>
  <w:style w:type="paragraph" w:styleId="Header">
    <w:name w:val="header"/>
    <w:basedOn w:val="Normal"/>
    <w:link w:val="HeaderChar"/>
    <w:uiPriority w:val="99"/>
    <w:unhideWhenUsed/>
    <w:rsid w:val="00030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05"/>
  </w:style>
  <w:style w:type="paragraph" w:styleId="Footer">
    <w:name w:val="footer"/>
    <w:basedOn w:val="Normal"/>
    <w:link w:val="FooterChar"/>
    <w:uiPriority w:val="99"/>
    <w:unhideWhenUsed/>
    <w:rsid w:val="00030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05"/>
  </w:style>
  <w:style w:type="paragraph" w:customStyle="1" w:styleId="FooterBodyText">
    <w:name w:val="Footer Body Text"/>
    <w:basedOn w:val="Normal"/>
    <w:rsid w:val="00030F05"/>
    <w:pPr>
      <w:spacing w:before="68" w:after="71" w:line="210" w:lineRule="atLeast"/>
    </w:pPr>
    <w:rPr>
      <w:rFonts w:ascii="Arial" w:hAnsi="Arial" w:cs="Arial"/>
      <w:color w:val="000000" w:themeColor="text1"/>
      <w:sz w:val="14"/>
      <w:szCs w:val="14"/>
    </w:rPr>
  </w:style>
  <w:style w:type="character" w:styleId="Hyperlink">
    <w:name w:val="Hyperlink"/>
    <w:basedOn w:val="DefaultParagraphFont"/>
    <w:uiPriority w:val="99"/>
    <w:unhideWhenUsed/>
    <w:rsid w:val="00030F05"/>
    <w:rPr>
      <w:color w:val="0000FF" w:themeColor="hyperlink"/>
      <w:u w:val="single"/>
    </w:rPr>
  </w:style>
  <w:style w:type="table" w:customStyle="1" w:styleId="LightShading1">
    <w:name w:val="Light Shading1"/>
    <w:basedOn w:val="TableNormal"/>
    <w:uiPriority w:val="60"/>
    <w:rsid w:val="008277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A4568D"/>
  </w:style>
  <w:style w:type="table" w:styleId="LightList-Accent5">
    <w:name w:val="Light List Accent 5"/>
    <w:basedOn w:val="TableNormal"/>
    <w:uiPriority w:val="61"/>
    <w:rsid w:val="00A456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Shading1-Accent11">
    <w:name w:val="Medium Shading 1 - Accent 11"/>
    <w:basedOn w:val="TableNormal"/>
    <w:uiPriority w:val="63"/>
    <w:rsid w:val="00A456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E72F8C"/>
    <w:rPr>
      <w:sz w:val="16"/>
      <w:szCs w:val="16"/>
    </w:rPr>
  </w:style>
  <w:style w:type="paragraph" w:styleId="CommentText">
    <w:name w:val="annotation text"/>
    <w:basedOn w:val="Normal"/>
    <w:link w:val="CommentTextChar"/>
    <w:uiPriority w:val="99"/>
    <w:semiHidden/>
    <w:unhideWhenUsed/>
    <w:rsid w:val="00E72F8C"/>
    <w:pPr>
      <w:spacing w:line="240" w:lineRule="auto"/>
    </w:pPr>
    <w:rPr>
      <w:sz w:val="20"/>
      <w:szCs w:val="20"/>
    </w:rPr>
  </w:style>
  <w:style w:type="character" w:customStyle="1" w:styleId="CommentTextChar">
    <w:name w:val="Comment Text Char"/>
    <w:basedOn w:val="DefaultParagraphFont"/>
    <w:link w:val="CommentText"/>
    <w:uiPriority w:val="99"/>
    <w:semiHidden/>
    <w:rsid w:val="00E72F8C"/>
    <w:rPr>
      <w:sz w:val="20"/>
      <w:szCs w:val="20"/>
    </w:rPr>
  </w:style>
  <w:style w:type="paragraph" w:styleId="CommentSubject">
    <w:name w:val="annotation subject"/>
    <w:basedOn w:val="CommentText"/>
    <w:next w:val="CommentText"/>
    <w:link w:val="CommentSubjectChar"/>
    <w:uiPriority w:val="99"/>
    <w:semiHidden/>
    <w:unhideWhenUsed/>
    <w:rsid w:val="00E72F8C"/>
    <w:rPr>
      <w:b/>
      <w:bCs/>
    </w:rPr>
  </w:style>
  <w:style w:type="character" w:customStyle="1" w:styleId="CommentSubjectChar">
    <w:name w:val="Comment Subject Char"/>
    <w:basedOn w:val="CommentTextChar"/>
    <w:link w:val="CommentSubject"/>
    <w:uiPriority w:val="99"/>
    <w:semiHidden/>
    <w:rsid w:val="00E72F8C"/>
    <w:rPr>
      <w:b/>
      <w:bCs/>
      <w:sz w:val="20"/>
      <w:szCs w:val="20"/>
    </w:rPr>
  </w:style>
  <w:style w:type="character" w:styleId="FollowedHyperlink">
    <w:name w:val="FollowedHyperlink"/>
    <w:basedOn w:val="DefaultParagraphFont"/>
    <w:uiPriority w:val="99"/>
    <w:semiHidden/>
    <w:unhideWhenUsed/>
    <w:rsid w:val="00A63064"/>
    <w:rPr>
      <w:color w:val="800080" w:themeColor="followedHyperlink"/>
      <w:u w:val="single"/>
    </w:rPr>
  </w:style>
  <w:style w:type="character" w:customStyle="1" w:styleId="UnresolvedMention1">
    <w:name w:val="Unresolved Mention1"/>
    <w:basedOn w:val="DefaultParagraphFont"/>
    <w:uiPriority w:val="99"/>
    <w:semiHidden/>
    <w:unhideWhenUsed/>
    <w:rsid w:val="00C17020"/>
    <w:rPr>
      <w:color w:val="605E5C"/>
      <w:shd w:val="clear" w:color="auto" w:fill="E1DFDD"/>
    </w:rPr>
  </w:style>
  <w:style w:type="table" w:customStyle="1" w:styleId="ListTable4-Accent51">
    <w:name w:val="List Table 4 - Accent 51"/>
    <w:basedOn w:val="TableNormal"/>
    <w:uiPriority w:val="49"/>
    <w:rsid w:val="006C465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C166E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0F2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50">
      <w:bodyDiv w:val="1"/>
      <w:marLeft w:val="0"/>
      <w:marRight w:val="0"/>
      <w:marTop w:val="0"/>
      <w:marBottom w:val="0"/>
      <w:divBdr>
        <w:top w:val="none" w:sz="0" w:space="0" w:color="auto"/>
        <w:left w:val="none" w:sz="0" w:space="0" w:color="auto"/>
        <w:bottom w:val="none" w:sz="0" w:space="0" w:color="auto"/>
        <w:right w:val="none" w:sz="0" w:space="0" w:color="auto"/>
      </w:divBdr>
    </w:div>
    <w:div w:id="7948491">
      <w:bodyDiv w:val="1"/>
      <w:marLeft w:val="0"/>
      <w:marRight w:val="0"/>
      <w:marTop w:val="0"/>
      <w:marBottom w:val="0"/>
      <w:divBdr>
        <w:top w:val="none" w:sz="0" w:space="0" w:color="auto"/>
        <w:left w:val="none" w:sz="0" w:space="0" w:color="auto"/>
        <w:bottom w:val="none" w:sz="0" w:space="0" w:color="auto"/>
        <w:right w:val="none" w:sz="0" w:space="0" w:color="auto"/>
      </w:divBdr>
    </w:div>
    <w:div w:id="42872125">
      <w:bodyDiv w:val="1"/>
      <w:marLeft w:val="0"/>
      <w:marRight w:val="0"/>
      <w:marTop w:val="0"/>
      <w:marBottom w:val="0"/>
      <w:divBdr>
        <w:top w:val="none" w:sz="0" w:space="0" w:color="auto"/>
        <w:left w:val="none" w:sz="0" w:space="0" w:color="auto"/>
        <w:bottom w:val="none" w:sz="0" w:space="0" w:color="auto"/>
        <w:right w:val="none" w:sz="0" w:space="0" w:color="auto"/>
      </w:divBdr>
    </w:div>
    <w:div w:id="64298979">
      <w:bodyDiv w:val="1"/>
      <w:marLeft w:val="0"/>
      <w:marRight w:val="0"/>
      <w:marTop w:val="0"/>
      <w:marBottom w:val="0"/>
      <w:divBdr>
        <w:top w:val="none" w:sz="0" w:space="0" w:color="auto"/>
        <w:left w:val="none" w:sz="0" w:space="0" w:color="auto"/>
        <w:bottom w:val="none" w:sz="0" w:space="0" w:color="auto"/>
        <w:right w:val="none" w:sz="0" w:space="0" w:color="auto"/>
      </w:divBdr>
    </w:div>
    <w:div w:id="163861778">
      <w:bodyDiv w:val="1"/>
      <w:marLeft w:val="0"/>
      <w:marRight w:val="0"/>
      <w:marTop w:val="0"/>
      <w:marBottom w:val="0"/>
      <w:divBdr>
        <w:top w:val="none" w:sz="0" w:space="0" w:color="auto"/>
        <w:left w:val="none" w:sz="0" w:space="0" w:color="auto"/>
        <w:bottom w:val="none" w:sz="0" w:space="0" w:color="auto"/>
        <w:right w:val="none" w:sz="0" w:space="0" w:color="auto"/>
      </w:divBdr>
    </w:div>
    <w:div w:id="180050610">
      <w:bodyDiv w:val="1"/>
      <w:marLeft w:val="0"/>
      <w:marRight w:val="0"/>
      <w:marTop w:val="0"/>
      <w:marBottom w:val="0"/>
      <w:divBdr>
        <w:top w:val="none" w:sz="0" w:space="0" w:color="auto"/>
        <w:left w:val="none" w:sz="0" w:space="0" w:color="auto"/>
        <w:bottom w:val="none" w:sz="0" w:space="0" w:color="auto"/>
        <w:right w:val="none" w:sz="0" w:space="0" w:color="auto"/>
      </w:divBdr>
    </w:div>
    <w:div w:id="246422950">
      <w:bodyDiv w:val="1"/>
      <w:marLeft w:val="0"/>
      <w:marRight w:val="0"/>
      <w:marTop w:val="0"/>
      <w:marBottom w:val="0"/>
      <w:divBdr>
        <w:top w:val="none" w:sz="0" w:space="0" w:color="auto"/>
        <w:left w:val="none" w:sz="0" w:space="0" w:color="auto"/>
        <w:bottom w:val="none" w:sz="0" w:space="0" w:color="auto"/>
        <w:right w:val="none" w:sz="0" w:space="0" w:color="auto"/>
      </w:divBdr>
    </w:div>
    <w:div w:id="270550470">
      <w:bodyDiv w:val="1"/>
      <w:marLeft w:val="0"/>
      <w:marRight w:val="0"/>
      <w:marTop w:val="0"/>
      <w:marBottom w:val="0"/>
      <w:divBdr>
        <w:top w:val="none" w:sz="0" w:space="0" w:color="auto"/>
        <w:left w:val="none" w:sz="0" w:space="0" w:color="auto"/>
        <w:bottom w:val="none" w:sz="0" w:space="0" w:color="auto"/>
        <w:right w:val="none" w:sz="0" w:space="0" w:color="auto"/>
      </w:divBdr>
    </w:div>
    <w:div w:id="296960780">
      <w:bodyDiv w:val="1"/>
      <w:marLeft w:val="0"/>
      <w:marRight w:val="0"/>
      <w:marTop w:val="0"/>
      <w:marBottom w:val="0"/>
      <w:divBdr>
        <w:top w:val="none" w:sz="0" w:space="0" w:color="auto"/>
        <w:left w:val="none" w:sz="0" w:space="0" w:color="auto"/>
        <w:bottom w:val="none" w:sz="0" w:space="0" w:color="auto"/>
        <w:right w:val="none" w:sz="0" w:space="0" w:color="auto"/>
      </w:divBdr>
    </w:div>
    <w:div w:id="332686944">
      <w:bodyDiv w:val="1"/>
      <w:marLeft w:val="0"/>
      <w:marRight w:val="0"/>
      <w:marTop w:val="0"/>
      <w:marBottom w:val="0"/>
      <w:divBdr>
        <w:top w:val="none" w:sz="0" w:space="0" w:color="auto"/>
        <w:left w:val="none" w:sz="0" w:space="0" w:color="auto"/>
        <w:bottom w:val="none" w:sz="0" w:space="0" w:color="auto"/>
        <w:right w:val="none" w:sz="0" w:space="0" w:color="auto"/>
      </w:divBdr>
    </w:div>
    <w:div w:id="341857403">
      <w:bodyDiv w:val="1"/>
      <w:marLeft w:val="0"/>
      <w:marRight w:val="0"/>
      <w:marTop w:val="0"/>
      <w:marBottom w:val="0"/>
      <w:divBdr>
        <w:top w:val="none" w:sz="0" w:space="0" w:color="auto"/>
        <w:left w:val="none" w:sz="0" w:space="0" w:color="auto"/>
        <w:bottom w:val="none" w:sz="0" w:space="0" w:color="auto"/>
        <w:right w:val="none" w:sz="0" w:space="0" w:color="auto"/>
      </w:divBdr>
    </w:div>
    <w:div w:id="342170964">
      <w:bodyDiv w:val="1"/>
      <w:marLeft w:val="0"/>
      <w:marRight w:val="0"/>
      <w:marTop w:val="0"/>
      <w:marBottom w:val="0"/>
      <w:divBdr>
        <w:top w:val="none" w:sz="0" w:space="0" w:color="auto"/>
        <w:left w:val="none" w:sz="0" w:space="0" w:color="auto"/>
        <w:bottom w:val="none" w:sz="0" w:space="0" w:color="auto"/>
        <w:right w:val="none" w:sz="0" w:space="0" w:color="auto"/>
      </w:divBdr>
    </w:div>
    <w:div w:id="427383817">
      <w:bodyDiv w:val="1"/>
      <w:marLeft w:val="0"/>
      <w:marRight w:val="0"/>
      <w:marTop w:val="0"/>
      <w:marBottom w:val="0"/>
      <w:divBdr>
        <w:top w:val="none" w:sz="0" w:space="0" w:color="auto"/>
        <w:left w:val="none" w:sz="0" w:space="0" w:color="auto"/>
        <w:bottom w:val="none" w:sz="0" w:space="0" w:color="auto"/>
        <w:right w:val="none" w:sz="0" w:space="0" w:color="auto"/>
      </w:divBdr>
    </w:div>
    <w:div w:id="512496062">
      <w:bodyDiv w:val="1"/>
      <w:marLeft w:val="0"/>
      <w:marRight w:val="0"/>
      <w:marTop w:val="0"/>
      <w:marBottom w:val="0"/>
      <w:divBdr>
        <w:top w:val="none" w:sz="0" w:space="0" w:color="auto"/>
        <w:left w:val="none" w:sz="0" w:space="0" w:color="auto"/>
        <w:bottom w:val="none" w:sz="0" w:space="0" w:color="auto"/>
        <w:right w:val="none" w:sz="0" w:space="0" w:color="auto"/>
      </w:divBdr>
    </w:div>
    <w:div w:id="556012674">
      <w:bodyDiv w:val="1"/>
      <w:marLeft w:val="0"/>
      <w:marRight w:val="0"/>
      <w:marTop w:val="0"/>
      <w:marBottom w:val="0"/>
      <w:divBdr>
        <w:top w:val="none" w:sz="0" w:space="0" w:color="auto"/>
        <w:left w:val="none" w:sz="0" w:space="0" w:color="auto"/>
        <w:bottom w:val="none" w:sz="0" w:space="0" w:color="auto"/>
        <w:right w:val="none" w:sz="0" w:space="0" w:color="auto"/>
      </w:divBdr>
    </w:div>
    <w:div w:id="571501722">
      <w:bodyDiv w:val="1"/>
      <w:marLeft w:val="0"/>
      <w:marRight w:val="0"/>
      <w:marTop w:val="0"/>
      <w:marBottom w:val="0"/>
      <w:divBdr>
        <w:top w:val="none" w:sz="0" w:space="0" w:color="auto"/>
        <w:left w:val="none" w:sz="0" w:space="0" w:color="auto"/>
        <w:bottom w:val="none" w:sz="0" w:space="0" w:color="auto"/>
        <w:right w:val="none" w:sz="0" w:space="0" w:color="auto"/>
      </w:divBdr>
    </w:div>
    <w:div w:id="614480816">
      <w:bodyDiv w:val="1"/>
      <w:marLeft w:val="0"/>
      <w:marRight w:val="0"/>
      <w:marTop w:val="0"/>
      <w:marBottom w:val="0"/>
      <w:divBdr>
        <w:top w:val="none" w:sz="0" w:space="0" w:color="auto"/>
        <w:left w:val="none" w:sz="0" w:space="0" w:color="auto"/>
        <w:bottom w:val="none" w:sz="0" w:space="0" w:color="auto"/>
        <w:right w:val="none" w:sz="0" w:space="0" w:color="auto"/>
      </w:divBdr>
    </w:div>
    <w:div w:id="642080046">
      <w:bodyDiv w:val="1"/>
      <w:marLeft w:val="0"/>
      <w:marRight w:val="0"/>
      <w:marTop w:val="0"/>
      <w:marBottom w:val="0"/>
      <w:divBdr>
        <w:top w:val="none" w:sz="0" w:space="0" w:color="auto"/>
        <w:left w:val="none" w:sz="0" w:space="0" w:color="auto"/>
        <w:bottom w:val="none" w:sz="0" w:space="0" w:color="auto"/>
        <w:right w:val="none" w:sz="0" w:space="0" w:color="auto"/>
      </w:divBdr>
    </w:div>
    <w:div w:id="668093002">
      <w:bodyDiv w:val="1"/>
      <w:marLeft w:val="0"/>
      <w:marRight w:val="0"/>
      <w:marTop w:val="0"/>
      <w:marBottom w:val="0"/>
      <w:divBdr>
        <w:top w:val="none" w:sz="0" w:space="0" w:color="auto"/>
        <w:left w:val="none" w:sz="0" w:space="0" w:color="auto"/>
        <w:bottom w:val="none" w:sz="0" w:space="0" w:color="auto"/>
        <w:right w:val="none" w:sz="0" w:space="0" w:color="auto"/>
      </w:divBdr>
    </w:div>
    <w:div w:id="719019560">
      <w:bodyDiv w:val="1"/>
      <w:marLeft w:val="0"/>
      <w:marRight w:val="0"/>
      <w:marTop w:val="0"/>
      <w:marBottom w:val="0"/>
      <w:divBdr>
        <w:top w:val="none" w:sz="0" w:space="0" w:color="auto"/>
        <w:left w:val="none" w:sz="0" w:space="0" w:color="auto"/>
        <w:bottom w:val="none" w:sz="0" w:space="0" w:color="auto"/>
        <w:right w:val="none" w:sz="0" w:space="0" w:color="auto"/>
      </w:divBdr>
    </w:div>
    <w:div w:id="763889860">
      <w:bodyDiv w:val="1"/>
      <w:marLeft w:val="0"/>
      <w:marRight w:val="0"/>
      <w:marTop w:val="0"/>
      <w:marBottom w:val="0"/>
      <w:divBdr>
        <w:top w:val="none" w:sz="0" w:space="0" w:color="auto"/>
        <w:left w:val="none" w:sz="0" w:space="0" w:color="auto"/>
        <w:bottom w:val="none" w:sz="0" w:space="0" w:color="auto"/>
        <w:right w:val="none" w:sz="0" w:space="0" w:color="auto"/>
      </w:divBdr>
    </w:div>
    <w:div w:id="783184729">
      <w:bodyDiv w:val="1"/>
      <w:marLeft w:val="0"/>
      <w:marRight w:val="0"/>
      <w:marTop w:val="0"/>
      <w:marBottom w:val="0"/>
      <w:divBdr>
        <w:top w:val="none" w:sz="0" w:space="0" w:color="auto"/>
        <w:left w:val="none" w:sz="0" w:space="0" w:color="auto"/>
        <w:bottom w:val="none" w:sz="0" w:space="0" w:color="auto"/>
        <w:right w:val="none" w:sz="0" w:space="0" w:color="auto"/>
      </w:divBdr>
    </w:div>
    <w:div w:id="826822187">
      <w:bodyDiv w:val="1"/>
      <w:marLeft w:val="0"/>
      <w:marRight w:val="0"/>
      <w:marTop w:val="0"/>
      <w:marBottom w:val="0"/>
      <w:divBdr>
        <w:top w:val="none" w:sz="0" w:space="0" w:color="auto"/>
        <w:left w:val="none" w:sz="0" w:space="0" w:color="auto"/>
        <w:bottom w:val="none" w:sz="0" w:space="0" w:color="auto"/>
        <w:right w:val="none" w:sz="0" w:space="0" w:color="auto"/>
      </w:divBdr>
    </w:div>
    <w:div w:id="887106891">
      <w:bodyDiv w:val="1"/>
      <w:marLeft w:val="0"/>
      <w:marRight w:val="0"/>
      <w:marTop w:val="0"/>
      <w:marBottom w:val="0"/>
      <w:divBdr>
        <w:top w:val="none" w:sz="0" w:space="0" w:color="auto"/>
        <w:left w:val="none" w:sz="0" w:space="0" w:color="auto"/>
        <w:bottom w:val="none" w:sz="0" w:space="0" w:color="auto"/>
        <w:right w:val="none" w:sz="0" w:space="0" w:color="auto"/>
      </w:divBdr>
    </w:div>
    <w:div w:id="890458917">
      <w:bodyDiv w:val="1"/>
      <w:marLeft w:val="0"/>
      <w:marRight w:val="0"/>
      <w:marTop w:val="0"/>
      <w:marBottom w:val="0"/>
      <w:divBdr>
        <w:top w:val="none" w:sz="0" w:space="0" w:color="auto"/>
        <w:left w:val="none" w:sz="0" w:space="0" w:color="auto"/>
        <w:bottom w:val="none" w:sz="0" w:space="0" w:color="auto"/>
        <w:right w:val="none" w:sz="0" w:space="0" w:color="auto"/>
      </w:divBdr>
    </w:div>
    <w:div w:id="891162411">
      <w:bodyDiv w:val="1"/>
      <w:marLeft w:val="0"/>
      <w:marRight w:val="0"/>
      <w:marTop w:val="0"/>
      <w:marBottom w:val="0"/>
      <w:divBdr>
        <w:top w:val="none" w:sz="0" w:space="0" w:color="auto"/>
        <w:left w:val="none" w:sz="0" w:space="0" w:color="auto"/>
        <w:bottom w:val="none" w:sz="0" w:space="0" w:color="auto"/>
        <w:right w:val="none" w:sz="0" w:space="0" w:color="auto"/>
      </w:divBdr>
    </w:div>
    <w:div w:id="948272371">
      <w:bodyDiv w:val="1"/>
      <w:marLeft w:val="0"/>
      <w:marRight w:val="0"/>
      <w:marTop w:val="0"/>
      <w:marBottom w:val="0"/>
      <w:divBdr>
        <w:top w:val="none" w:sz="0" w:space="0" w:color="auto"/>
        <w:left w:val="none" w:sz="0" w:space="0" w:color="auto"/>
        <w:bottom w:val="none" w:sz="0" w:space="0" w:color="auto"/>
        <w:right w:val="none" w:sz="0" w:space="0" w:color="auto"/>
      </w:divBdr>
    </w:div>
    <w:div w:id="965887800">
      <w:bodyDiv w:val="1"/>
      <w:marLeft w:val="0"/>
      <w:marRight w:val="0"/>
      <w:marTop w:val="0"/>
      <w:marBottom w:val="0"/>
      <w:divBdr>
        <w:top w:val="none" w:sz="0" w:space="0" w:color="auto"/>
        <w:left w:val="none" w:sz="0" w:space="0" w:color="auto"/>
        <w:bottom w:val="none" w:sz="0" w:space="0" w:color="auto"/>
        <w:right w:val="none" w:sz="0" w:space="0" w:color="auto"/>
      </w:divBdr>
    </w:div>
    <w:div w:id="1005013300">
      <w:bodyDiv w:val="1"/>
      <w:marLeft w:val="0"/>
      <w:marRight w:val="0"/>
      <w:marTop w:val="0"/>
      <w:marBottom w:val="0"/>
      <w:divBdr>
        <w:top w:val="none" w:sz="0" w:space="0" w:color="auto"/>
        <w:left w:val="none" w:sz="0" w:space="0" w:color="auto"/>
        <w:bottom w:val="none" w:sz="0" w:space="0" w:color="auto"/>
        <w:right w:val="none" w:sz="0" w:space="0" w:color="auto"/>
      </w:divBdr>
    </w:div>
    <w:div w:id="1032072143">
      <w:bodyDiv w:val="1"/>
      <w:marLeft w:val="0"/>
      <w:marRight w:val="0"/>
      <w:marTop w:val="0"/>
      <w:marBottom w:val="0"/>
      <w:divBdr>
        <w:top w:val="none" w:sz="0" w:space="0" w:color="auto"/>
        <w:left w:val="none" w:sz="0" w:space="0" w:color="auto"/>
        <w:bottom w:val="none" w:sz="0" w:space="0" w:color="auto"/>
        <w:right w:val="none" w:sz="0" w:space="0" w:color="auto"/>
      </w:divBdr>
    </w:div>
    <w:div w:id="1037899657">
      <w:bodyDiv w:val="1"/>
      <w:marLeft w:val="0"/>
      <w:marRight w:val="0"/>
      <w:marTop w:val="0"/>
      <w:marBottom w:val="0"/>
      <w:divBdr>
        <w:top w:val="none" w:sz="0" w:space="0" w:color="auto"/>
        <w:left w:val="none" w:sz="0" w:space="0" w:color="auto"/>
        <w:bottom w:val="none" w:sz="0" w:space="0" w:color="auto"/>
        <w:right w:val="none" w:sz="0" w:space="0" w:color="auto"/>
      </w:divBdr>
    </w:div>
    <w:div w:id="1084761613">
      <w:bodyDiv w:val="1"/>
      <w:marLeft w:val="0"/>
      <w:marRight w:val="0"/>
      <w:marTop w:val="0"/>
      <w:marBottom w:val="0"/>
      <w:divBdr>
        <w:top w:val="none" w:sz="0" w:space="0" w:color="auto"/>
        <w:left w:val="none" w:sz="0" w:space="0" w:color="auto"/>
        <w:bottom w:val="none" w:sz="0" w:space="0" w:color="auto"/>
        <w:right w:val="none" w:sz="0" w:space="0" w:color="auto"/>
      </w:divBdr>
    </w:div>
    <w:div w:id="1088500378">
      <w:bodyDiv w:val="1"/>
      <w:marLeft w:val="0"/>
      <w:marRight w:val="0"/>
      <w:marTop w:val="0"/>
      <w:marBottom w:val="0"/>
      <w:divBdr>
        <w:top w:val="none" w:sz="0" w:space="0" w:color="auto"/>
        <w:left w:val="none" w:sz="0" w:space="0" w:color="auto"/>
        <w:bottom w:val="none" w:sz="0" w:space="0" w:color="auto"/>
        <w:right w:val="none" w:sz="0" w:space="0" w:color="auto"/>
      </w:divBdr>
    </w:div>
    <w:div w:id="1108966496">
      <w:bodyDiv w:val="1"/>
      <w:marLeft w:val="0"/>
      <w:marRight w:val="0"/>
      <w:marTop w:val="0"/>
      <w:marBottom w:val="0"/>
      <w:divBdr>
        <w:top w:val="none" w:sz="0" w:space="0" w:color="auto"/>
        <w:left w:val="none" w:sz="0" w:space="0" w:color="auto"/>
        <w:bottom w:val="none" w:sz="0" w:space="0" w:color="auto"/>
        <w:right w:val="none" w:sz="0" w:space="0" w:color="auto"/>
      </w:divBdr>
    </w:div>
    <w:div w:id="1110782342">
      <w:bodyDiv w:val="1"/>
      <w:marLeft w:val="0"/>
      <w:marRight w:val="0"/>
      <w:marTop w:val="0"/>
      <w:marBottom w:val="0"/>
      <w:divBdr>
        <w:top w:val="none" w:sz="0" w:space="0" w:color="auto"/>
        <w:left w:val="none" w:sz="0" w:space="0" w:color="auto"/>
        <w:bottom w:val="none" w:sz="0" w:space="0" w:color="auto"/>
        <w:right w:val="none" w:sz="0" w:space="0" w:color="auto"/>
      </w:divBdr>
    </w:div>
    <w:div w:id="1143737724">
      <w:bodyDiv w:val="1"/>
      <w:marLeft w:val="0"/>
      <w:marRight w:val="0"/>
      <w:marTop w:val="0"/>
      <w:marBottom w:val="0"/>
      <w:divBdr>
        <w:top w:val="none" w:sz="0" w:space="0" w:color="auto"/>
        <w:left w:val="none" w:sz="0" w:space="0" w:color="auto"/>
        <w:bottom w:val="none" w:sz="0" w:space="0" w:color="auto"/>
        <w:right w:val="none" w:sz="0" w:space="0" w:color="auto"/>
      </w:divBdr>
    </w:div>
    <w:div w:id="1166555084">
      <w:bodyDiv w:val="1"/>
      <w:marLeft w:val="0"/>
      <w:marRight w:val="0"/>
      <w:marTop w:val="0"/>
      <w:marBottom w:val="0"/>
      <w:divBdr>
        <w:top w:val="none" w:sz="0" w:space="0" w:color="auto"/>
        <w:left w:val="none" w:sz="0" w:space="0" w:color="auto"/>
        <w:bottom w:val="none" w:sz="0" w:space="0" w:color="auto"/>
        <w:right w:val="none" w:sz="0" w:space="0" w:color="auto"/>
      </w:divBdr>
    </w:div>
    <w:div w:id="1169446130">
      <w:bodyDiv w:val="1"/>
      <w:marLeft w:val="0"/>
      <w:marRight w:val="0"/>
      <w:marTop w:val="0"/>
      <w:marBottom w:val="0"/>
      <w:divBdr>
        <w:top w:val="none" w:sz="0" w:space="0" w:color="auto"/>
        <w:left w:val="none" w:sz="0" w:space="0" w:color="auto"/>
        <w:bottom w:val="none" w:sz="0" w:space="0" w:color="auto"/>
        <w:right w:val="none" w:sz="0" w:space="0" w:color="auto"/>
      </w:divBdr>
    </w:div>
    <w:div w:id="1191533543">
      <w:bodyDiv w:val="1"/>
      <w:marLeft w:val="0"/>
      <w:marRight w:val="0"/>
      <w:marTop w:val="0"/>
      <w:marBottom w:val="0"/>
      <w:divBdr>
        <w:top w:val="none" w:sz="0" w:space="0" w:color="auto"/>
        <w:left w:val="none" w:sz="0" w:space="0" w:color="auto"/>
        <w:bottom w:val="none" w:sz="0" w:space="0" w:color="auto"/>
        <w:right w:val="none" w:sz="0" w:space="0" w:color="auto"/>
      </w:divBdr>
    </w:div>
    <w:div w:id="1205675604">
      <w:bodyDiv w:val="1"/>
      <w:marLeft w:val="0"/>
      <w:marRight w:val="0"/>
      <w:marTop w:val="0"/>
      <w:marBottom w:val="0"/>
      <w:divBdr>
        <w:top w:val="none" w:sz="0" w:space="0" w:color="auto"/>
        <w:left w:val="none" w:sz="0" w:space="0" w:color="auto"/>
        <w:bottom w:val="none" w:sz="0" w:space="0" w:color="auto"/>
        <w:right w:val="none" w:sz="0" w:space="0" w:color="auto"/>
      </w:divBdr>
    </w:div>
    <w:div w:id="1217399130">
      <w:bodyDiv w:val="1"/>
      <w:marLeft w:val="0"/>
      <w:marRight w:val="0"/>
      <w:marTop w:val="0"/>
      <w:marBottom w:val="0"/>
      <w:divBdr>
        <w:top w:val="none" w:sz="0" w:space="0" w:color="auto"/>
        <w:left w:val="none" w:sz="0" w:space="0" w:color="auto"/>
        <w:bottom w:val="none" w:sz="0" w:space="0" w:color="auto"/>
        <w:right w:val="none" w:sz="0" w:space="0" w:color="auto"/>
      </w:divBdr>
    </w:div>
    <w:div w:id="1225458099">
      <w:bodyDiv w:val="1"/>
      <w:marLeft w:val="0"/>
      <w:marRight w:val="0"/>
      <w:marTop w:val="0"/>
      <w:marBottom w:val="0"/>
      <w:divBdr>
        <w:top w:val="none" w:sz="0" w:space="0" w:color="auto"/>
        <w:left w:val="none" w:sz="0" w:space="0" w:color="auto"/>
        <w:bottom w:val="none" w:sz="0" w:space="0" w:color="auto"/>
        <w:right w:val="none" w:sz="0" w:space="0" w:color="auto"/>
      </w:divBdr>
    </w:div>
    <w:div w:id="1276058062">
      <w:bodyDiv w:val="1"/>
      <w:marLeft w:val="0"/>
      <w:marRight w:val="0"/>
      <w:marTop w:val="0"/>
      <w:marBottom w:val="0"/>
      <w:divBdr>
        <w:top w:val="none" w:sz="0" w:space="0" w:color="auto"/>
        <w:left w:val="none" w:sz="0" w:space="0" w:color="auto"/>
        <w:bottom w:val="none" w:sz="0" w:space="0" w:color="auto"/>
        <w:right w:val="none" w:sz="0" w:space="0" w:color="auto"/>
      </w:divBdr>
    </w:div>
    <w:div w:id="1325623154">
      <w:bodyDiv w:val="1"/>
      <w:marLeft w:val="0"/>
      <w:marRight w:val="0"/>
      <w:marTop w:val="0"/>
      <w:marBottom w:val="0"/>
      <w:divBdr>
        <w:top w:val="none" w:sz="0" w:space="0" w:color="auto"/>
        <w:left w:val="none" w:sz="0" w:space="0" w:color="auto"/>
        <w:bottom w:val="none" w:sz="0" w:space="0" w:color="auto"/>
        <w:right w:val="none" w:sz="0" w:space="0" w:color="auto"/>
      </w:divBdr>
    </w:div>
    <w:div w:id="1383096372">
      <w:bodyDiv w:val="1"/>
      <w:marLeft w:val="0"/>
      <w:marRight w:val="0"/>
      <w:marTop w:val="0"/>
      <w:marBottom w:val="0"/>
      <w:divBdr>
        <w:top w:val="none" w:sz="0" w:space="0" w:color="auto"/>
        <w:left w:val="none" w:sz="0" w:space="0" w:color="auto"/>
        <w:bottom w:val="none" w:sz="0" w:space="0" w:color="auto"/>
        <w:right w:val="none" w:sz="0" w:space="0" w:color="auto"/>
      </w:divBdr>
    </w:div>
    <w:div w:id="1389114927">
      <w:bodyDiv w:val="1"/>
      <w:marLeft w:val="0"/>
      <w:marRight w:val="0"/>
      <w:marTop w:val="0"/>
      <w:marBottom w:val="0"/>
      <w:divBdr>
        <w:top w:val="none" w:sz="0" w:space="0" w:color="auto"/>
        <w:left w:val="none" w:sz="0" w:space="0" w:color="auto"/>
        <w:bottom w:val="none" w:sz="0" w:space="0" w:color="auto"/>
        <w:right w:val="none" w:sz="0" w:space="0" w:color="auto"/>
      </w:divBdr>
    </w:div>
    <w:div w:id="1403680677">
      <w:bodyDiv w:val="1"/>
      <w:marLeft w:val="0"/>
      <w:marRight w:val="0"/>
      <w:marTop w:val="0"/>
      <w:marBottom w:val="0"/>
      <w:divBdr>
        <w:top w:val="none" w:sz="0" w:space="0" w:color="auto"/>
        <w:left w:val="none" w:sz="0" w:space="0" w:color="auto"/>
        <w:bottom w:val="none" w:sz="0" w:space="0" w:color="auto"/>
        <w:right w:val="none" w:sz="0" w:space="0" w:color="auto"/>
      </w:divBdr>
    </w:div>
    <w:div w:id="1406996600">
      <w:bodyDiv w:val="1"/>
      <w:marLeft w:val="0"/>
      <w:marRight w:val="0"/>
      <w:marTop w:val="0"/>
      <w:marBottom w:val="0"/>
      <w:divBdr>
        <w:top w:val="none" w:sz="0" w:space="0" w:color="auto"/>
        <w:left w:val="none" w:sz="0" w:space="0" w:color="auto"/>
        <w:bottom w:val="none" w:sz="0" w:space="0" w:color="auto"/>
        <w:right w:val="none" w:sz="0" w:space="0" w:color="auto"/>
      </w:divBdr>
    </w:div>
    <w:div w:id="1447191039">
      <w:bodyDiv w:val="1"/>
      <w:marLeft w:val="0"/>
      <w:marRight w:val="0"/>
      <w:marTop w:val="0"/>
      <w:marBottom w:val="0"/>
      <w:divBdr>
        <w:top w:val="none" w:sz="0" w:space="0" w:color="auto"/>
        <w:left w:val="none" w:sz="0" w:space="0" w:color="auto"/>
        <w:bottom w:val="none" w:sz="0" w:space="0" w:color="auto"/>
        <w:right w:val="none" w:sz="0" w:space="0" w:color="auto"/>
      </w:divBdr>
    </w:div>
    <w:div w:id="1605458840">
      <w:bodyDiv w:val="1"/>
      <w:marLeft w:val="0"/>
      <w:marRight w:val="0"/>
      <w:marTop w:val="0"/>
      <w:marBottom w:val="0"/>
      <w:divBdr>
        <w:top w:val="none" w:sz="0" w:space="0" w:color="auto"/>
        <w:left w:val="none" w:sz="0" w:space="0" w:color="auto"/>
        <w:bottom w:val="none" w:sz="0" w:space="0" w:color="auto"/>
        <w:right w:val="none" w:sz="0" w:space="0" w:color="auto"/>
      </w:divBdr>
    </w:div>
    <w:div w:id="1625959495">
      <w:bodyDiv w:val="1"/>
      <w:marLeft w:val="0"/>
      <w:marRight w:val="0"/>
      <w:marTop w:val="0"/>
      <w:marBottom w:val="0"/>
      <w:divBdr>
        <w:top w:val="none" w:sz="0" w:space="0" w:color="auto"/>
        <w:left w:val="none" w:sz="0" w:space="0" w:color="auto"/>
        <w:bottom w:val="none" w:sz="0" w:space="0" w:color="auto"/>
        <w:right w:val="none" w:sz="0" w:space="0" w:color="auto"/>
      </w:divBdr>
    </w:div>
    <w:div w:id="1627278737">
      <w:bodyDiv w:val="1"/>
      <w:marLeft w:val="0"/>
      <w:marRight w:val="0"/>
      <w:marTop w:val="0"/>
      <w:marBottom w:val="0"/>
      <w:divBdr>
        <w:top w:val="none" w:sz="0" w:space="0" w:color="auto"/>
        <w:left w:val="none" w:sz="0" w:space="0" w:color="auto"/>
        <w:bottom w:val="none" w:sz="0" w:space="0" w:color="auto"/>
        <w:right w:val="none" w:sz="0" w:space="0" w:color="auto"/>
      </w:divBdr>
    </w:div>
    <w:div w:id="1643071407">
      <w:bodyDiv w:val="1"/>
      <w:marLeft w:val="0"/>
      <w:marRight w:val="0"/>
      <w:marTop w:val="0"/>
      <w:marBottom w:val="0"/>
      <w:divBdr>
        <w:top w:val="none" w:sz="0" w:space="0" w:color="auto"/>
        <w:left w:val="none" w:sz="0" w:space="0" w:color="auto"/>
        <w:bottom w:val="none" w:sz="0" w:space="0" w:color="auto"/>
        <w:right w:val="none" w:sz="0" w:space="0" w:color="auto"/>
      </w:divBdr>
    </w:div>
    <w:div w:id="1649750458">
      <w:bodyDiv w:val="1"/>
      <w:marLeft w:val="0"/>
      <w:marRight w:val="0"/>
      <w:marTop w:val="0"/>
      <w:marBottom w:val="0"/>
      <w:divBdr>
        <w:top w:val="none" w:sz="0" w:space="0" w:color="auto"/>
        <w:left w:val="none" w:sz="0" w:space="0" w:color="auto"/>
        <w:bottom w:val="none" w:sz="0" w:space="0" w:color="auto"/>
        <w:right w:val="none" w:sz="0" w:space="0" w:color="auto"/>
      </w:divBdr>
    </w:div>
    <w:div w:id="1665084591">
      <w:bodyDiv w:val="1"/>
      <w:marLeft w:val="0"/>
      <w:marRight w:val="0"/>
      <w:marTop w:val="0"/>
      <w:marBottom w:val="0"/>
      <w:divBdr>
        <w:top w:val="none" w:sz="0" w:space="0" w:color="auto"/>
        <w:left w:val="none" w:sz="0" w:space="0" w:color="auto"/>
        <w:bottom w:val="none" w:sz="0" w:space="0" w:color="auto"/>
        <w:right w:val="none" w:sz="0" w:space="0" w:color="auto"/>
      </w:divBdr>
    </w:div>
    <w:div w:id="1674064116">
      <w:bodyDiv w:val="1"/>
      <w:marLeft w:val="0"/>
      <w:marRight w:val="0"/>
      <w:marTop w:val="0"/>
      <w:marBottom w:val="0"/>
      <w:divBdr>
        <w:top w:val="none" w:sz="0" w:space="0" w:color="auto"/>
        <w:left w:val="none" w:sz="0" w:space="0" w:color="auto"/>
        <w:bottom w:val="none" w:sz="0" w:space="0" w:color="auto"/>
        <w:right w:val="none" w:sz="0" w:space="0" w:color="auto"/>
      </w:divBdr>
    </w:div>
    <w:div w:id="1687250875">
      <w:bodyDiv w:val="1"/>
      <w:marLeft w:val="0"/>
      <w:marRight w:val="0"/>
      <w:marTop w:val="0"/>
      <w:marBottom w:val="0"/>
      <w:divBdr>
        <w:top w:val="none" w:sz="0" w:space="0" w:color="auto"/>
        <w:left w:val="none" w:sz="0" w:space="0" w:color="auto"/>
        <w:bottom w:val="none" w:sz="0" w:space="0" w:color="auto"/>
        <w:right w:val="none" w:sz="0" w:space="0" w:color="auto"/>
      </w:divBdr>
    </w:div>
    <w:div w:id="1718242082">
      <w:bodyDiv w:val="1"/>
      <w:marLeft w:val="0"/>
      <w:marRight w:val="0"/>
      <w:marTop w:val="0"/>
      <w:marBottom w:val="0"/>
      <w:divBdr>
        <w:top w:val="none" w:sz="0" w:space="0" w:color="auto"/>
        <w:left w:val="none" w:sz="0" w:space="0" w:color="auto"/>
        <w:bottom w:val="none" w:sz="0" w:space="0" w:color="auto"/>
        <w:right w:val="none" w:sz="0" w:space="0" w:color="auto"/>
      </w:divBdr>
    </w:div>
    <w:div w:id="1719743337">
      <w:bodyDiv w:val="1"/>
      <w:marLeft w:val="0"/>
      <w:marRight w:val="0"/>
      <w:marTop w:val="0"/>
      <w:marBottom w:val="0"/>
      <w:divBdr>
        <w:top w:val="none" w:sz="0" w:space="0" w:color="auto"/>
        <w:left w:val="none" w:sz="0" w:space="0" w:color="auto"/>
        <w:bottom w:val="none" w:sz="0" w:space="0" w:color="auto"/>
        <w:right w:val="none" w:sz="0" w:space="0" w:color="auto"/>
      </w:divBdr>
    </w:div>
    <w:div w:id="1729067912">
      <w:bodyDiv w:val="1"/>
      <w:marLeft w:val="0"/>
      <w:marRight w:val="0"/>
      <w:marTop w:val="0"/>
      <w:marBottom w:val="0"/>
      <w:divBdr>
        <w:top w:val="none" w:sz="0" w:space="0" w:color="auto"/>
        <w:left w:val="none" w:sz="0" w:space="0" w:color="auto"/>
        <w:bottom w:val="none" w:sz="0" w:space="0" w:color="auto"/>
        <w:right w:val="none" w:sz="0" w:space="0" w:color="auto"/>
      </w:divBdr>
    </w:div>
    <w:div w:id="1755130578">
      <w:bodyDiv w:val="1"/>
      <w:marLeft w:val="0"/>
      <w:marRight w:val="0"/>
      <w:marTop w:val="0"/>
      <w:marBottom w:val="0"/>
      <w:divBdr>
        <w:top w:val="none" w:sz="0" w:space="0" w:color="auto"/>
        <w:left w:val="none" w:sz="0" w:space="0" w:color="auto"/>
        <w:bottom w:val="none" w:sz="0" w:space="0" w:color="auto"/>
        <w:right w:val="none" w:sz="0" w:space="0" w:color="auto"/>
      </w:divBdr>
    </w:div>
    <w:div w:id="1755131576">
      <w:bodyDiv w:val="1"/>
      <w:marLeft w:val="0"/>
      <w:marRight w:val="0"/>
      <w:marTop w:val="0"/>
      <w:marBottom w:val="0"/>
      <w:divBdr>
        <w:top w:val="none" w:sz="0" w:space="0" w:color="auto"/>
        <w:left w:val="none" w:sz="0" w:space="0" w:color="auto"/>
        <w:bottom w:val="none" w:sz="0" w:space="0" w:color="auto"/>
        <w:right w:val="none" w:sz="0" w:space="0" w:color="auto"/>
      </w:divBdr>
    </w:div>
    <w:div w:id="1774012425">
      <w:bodyDiv w:val="1"/>
      <w:marLeft w:val="0"/>
      <w:marRight w:val="0"/>
      <w:marTop w:val="0"/>
      <w:marBottom w:val="0"/>
      <w:divBdr>
        <w:top w:val="none" w:sz="0" w:space="0" w:color="auto"/>
        <w:left w:val="none" w:sz="0" w:space="0" w:color="auto"/>
        <w:bottom w:val="none" w:sz="0" w:space="0" w:color="auto"/>
        <w:right w:val="none" w:sz="0" w:space="0" w:color="auto"/>
      </w:divBdr>
    </w:div>
    <w:div w:id="1809516680">
      <w:bodyDiv w:val="1"/>
      <w:marLeft w:val="0"/>
      <w:marRight w:val="0"/>
      <w:marTop w:val="0"/>
      <w:marBottom w:val="0"/>
      <w:divBdr>
        <w:top w:val="none" w:sz="0" w:space="0" w:color="auto"/>
        <w:left w:val="none" w:sz="0" w:space="0" w:color="auto"/>
        <w:bottom w:val="none" w:sz="0" w:space="0" w:color="auto"/>
        <w:right w:val="none" w:sz="0" w:space="0" w:color="auto"/>
      </w:divBdr>
    </w:div>
    <w:div w:id="1901865481">
      <w:bodyDiv w:val="1"/>
      <w:marLeft w:val="0"/>
      <w:marRight w:val="0"/>
      <w:marTop w:val="0"/>
      <w:marBottom w:val="0"/>
      <w:divBdr>
        <w:top w:val="none" w:sz="0" w:space="0" w:color="auto"/>
        <w:left w:val="none" w:sz="0" w:space="0" w:color="auto"/>
        <w:bottom w:val="none" w:sz="0" w:space="0" w:color="auto"/>
        <w:right w:val="none" w:sz="0" w:space="0" w:color="auto"/>
      </w:divBdr>
    </w:div>
    <w:div w:id="1937858592">
      <w:bodyDiv w:val="1"/>
      <w:marLeft w:val="0"/>
      <w:marRight w:val="0"/>
      <w:marTop w:val="0"/>
      <w:marBottom w:val="0"/>
      <w:divBdr>
        <w:top w:val="none" w:sz="0" w:space="0" w:color="auto"/>
        <w:left w:val="none" w:sz="0" w:space="0" w:color="auto"/>
        <w:bottom w:val="none" w:sz="0" w:space="0" w:color="auto"/>
        <w:right w:val="none" w:sz="0" w:space="0" w:color="auto"/>
      </w:divBdr>
    </w:div>
    <w:div w:id="1959143400">
      <w:bodyDiv w:val="1"/>
      <w:marLeft w:val="0"/>
      <w:marRight w:val="0"/>
      <w:marTop w:val="0"/>
      <w:marBottom w:val="0"/>
      <w:divBdr>
        <w:top w:val="none" w:sz="0" w:space="0" w:color="auto"/>
        <w:left w:val="none" w:sz="0" w:space="0" w:color="auto"/>
        <w:bottom w:val="none" w:sz="0" w:space="0" w:color="auto"/>
        <w:right w:val="none" w:sz="0" w:space="0" w:color="auto"/>
      </w:divBdr>
    </w:div>
    <w:div w:id="1986658457">
      <w:bodyDiv w:val="1"/>
      <w:marLeft w:val="0"/>
      <w:marRight w:val="0"/>
      <w:marTop w:val="0"/>
      <w:marBottom w:val="0"/>
      <w:divBdr>
        <w:top w:val="none" w:sz="0" w:space="0" w:color="auto"/>
        <w:left w:val="none" w:sz="0" w:space="0" w:color="auto"/>
        <w:bottom w:val="none" w:sz="0" w:space="0" w:color="auto"/>
        <w:right w:val="none" w:sz="0" w:space="0" w:color="auto"/>
      </w:divBdr>
    </w:div>
    <w:div w:id="2006739460">
      <w:bodyDiv w:val="1"/>
      <w:marLeft w:val="0"/>
      <w:marRight w:val="0"/>
      <w:marTop w:val="0"/>
      <w:marBottom w:val="0"/>
      <w:divBdr>
        <w:top w:val="none" w:sz="0" w:space="0" w:color="auto"/>
        <w:left w:val="none" w:sz="0" w:space="0" w:color="auto"/>
        <w:bottom w:val="none" w:sz="0" w:space="0" w:color="auto"/>
        <w:right w:val="none" w:sz="0" w:space="0" w:color="auto"/>
      </w:divBdr>
    </w:div>
    <w:div w:id="21390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rriner.com/?utm_source=newbiz&amp;utm_medium=email&amp;utm_campaign=JuneMeatRepo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riner.com/?utm_source=newbiz&amp;utm_medium=email&amp;utm_campaign=JuneMeatRepor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reshfoods@iriworldwid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nne-Marie\Documents\210%20Analytics\Clients\IRI\2022\August%202022\Line_graph_meat_Sep_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anose="020B0604020202020204" pitchFamily="34" charset="0"/>
                <a:cs typeface="Arial" panose="020B0604020202020204" pitchFamily="34" charset="0"/>
              </a:defRPr>
            </a:pPr>
            <a:r>
              <a:rPr lang="en-US" sz="1000" b="1" i="0" baseline="0">
                <a:latin typeface="Arial" panose="020B0604020202020204" pitchFamily="34" charset="0"/>
                <a:cs typeface="Arial" panose="020B0604020202020204" pitchFamily="34" charset="0"/>
              </a:rPr>
              <a:t>$ and lbs growth meat department vs. comparable time period year ago </a:t>
            </a:r>
            <a:endParaRPr lang="en-US" sz="1000">
              <a:latin typeface="Arial" panose="020B0604020202020204" pitchFamily="34" charset="0"/>
              <a:cs typeface="Arial" panose="020B0604020202020204" pitchFamily="34" charset="0"/>
            </a:endParaRPr>
          </a:p>
        </c:rich>
      </c:tx>
      <c:overlay val="0"/>
    </c:title>
    <c:autoTitleDeleted val="0"/>
    <c:plotArea>
      <c:layout>
        <c:manualLayout>
          <c:layoutTarget val="inner"/>
          <c:xMode val="edge"/>
          <c:yMode val="edge"/>
          <c:x val="9.8542341048161574E-4"/>
          <c:y val="0.17127157629413231"/>
          <c:w val="0.96425606373671369"/>
          <c:h val="0.7924266984929994"/>
        </c:manualLayout>
      </c:layout>
      <c:lineChart>
        <c:grouping val="standard"/>
        <c:varyColors val="0"/>
        <c:ser>
          <c:idx val="0"/>
          <c:order val="0"/>
          <c:tx>
            <c:strRef>
              <c:f>Sheet1!$A$61</c:f>
              <c:strCache>
                <c:ptCount val="1"/>
                <c:pt idx="0">
                  <c:v>Dollar growth</c:v>
                </c:pt>
              </c:strCache>
            </c:strRef>
          </c:tx>
          <c:spPr>
            <a:ln>
              <a:solidFill>
                <a:schemeClr val="tx2">
                  <a:lumMod val="75000"/>
                </a:schemeClr>
              </a:solidFill>
            </a:ln>
          </c:spPr>
          <c:marker>
            <c:symbol val="none"/>
          </c:marker>
          <c:dLbls>
            <c:dLbl>
              <c:idx val="0"/>
              <c:layout>
                <c:manualLayout>
                  <c:x val="-5.3067163164882046E-2"/>
                  <c:y val="-2.85049065436741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88-4516-A2B9-D689185CFB1B}"/>
                </c:ext>
              </c:extLst>
            </c:dLbl>
            <c:dLbl>
              <c:idx val="3"/>
              <c:layout>
                <c:manualLayout>
                  <c:x val="-2.6180495179295764E-2"/>
                  <c:y val="-3.57105481135772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88-4516-A2B9-D689185CFB1B}"/>
                </c:ext>
              </c:extLst>
            </c:dLbl>
            <c:dLbl>
              <c:idx val="7"/>
              <c:layout>
                <c:manualLayout>
                  <c:x val="-2.8503511450836461E-2"/>
                  <c:y val="-6.12187313438573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88-4516-A2B9-D689185CFB1B}"/>
                </c:ext>
              </c:extLst>
            </c:dLbl>
            <c:dLbl>
              <c:idx val="8"/>
              <c:layout>
                <c:manualLayout>
                  <c:x val="-4.9332752352896414E-2"/>
                  <c:y val="-3.29571571689552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88-4516-A2B9-D689185CFB1B}"/>
                </c:ext>
              </c:extLst>
            </c:dLbl>
            <c:dLbl>
              <c:idx val="9"/>
              <c:layout>
                <c:manualLayout>
                  <c:x val="-3.8828032071624066E-2"/>
                  <c:y val="-2.69032896611920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88-4516-A2B9-D689185CFB1B}"/>
                </c:ext>
              </c:extLst>
            </c:dLbl>
            <c:dLbl>
              <c:idx val="10"/>
              <c:layout>
                <c:manualLayout>
                  <c:x val="-4.3991012793497604E-2"/>
                  <c:y val="-2.65303248245395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88-4516-A2B9-D689185CFB1B}"/>
                </c:ext>
              </c:extLst>
            </c:dLbl>
            <c:dLbl>
              <c:idx val="11"/>
              <c:layout>
                <c:manualLayout>
                  <c:x val="-3.4598344546187737E-2"/>
                  <c:y val="-3.00531725391000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A88-4516-A2B9-D689185CFB1B}"/>
                </c:ext>
              </c:extLst>
            </c:dLbl>
            <c:dLbl>
              <c:idx val="14"/>
              <c:layout>
                <c:manualLayout>
                  <c:x val="-3.2532860201689884E-2"/>
                  <c:y val="-3.56161257754298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A88-4516-A2B9-D689185CFB1B}"/>
                </c:ext>
              </c:extLst>
            </c:dLbl>
            <c:spPr>
              <a:noFill/>
              <a:ln>
                <a:noFill/>
              </a:ln>
              <a:effectLst/>
            </c:spPr>
            <c:txPr>
              <a:bodyPr wrap="square" lIns="38100" tIns="19050" rIns="38100" bIns="19050" anchor="ctr">
                <a:spAutoFit/>
              </a:bodyPr>
              <a:lstStyle/>
              <a:p>
                <a:pPr>
                  <a:defRPr>
                    <a:solidFill>
                      <a:schemeClr val="tx2">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Sheet1!$B$60:$N$60</c:f>
              <c:strCache>
                <c:ptCount val="13"/>
                <c:pt idx="0">
                  <c:v>2019</c:v>
                </c:pt>
                <c:pt idx="1">
                  <c:v>Q1 '20</c:v>
                </c:pt>
                <c:pt idx="2">
                  <c:v>Q2 '20</c:v>
                </c:pt>
                <c:pt idx="3">
                  <c:v>Q3 '20</c:v>
                </c:pt>
                <c:pt idx="4">
                  <c:v>Q4 '20</c:v>
                </c:pt>
                <c:pt idx="5">
                  <c:v>Q1 '21</c:v>
                </c:pt>
                <c:pt idx="6">
                  <c:v>Q2 '21</c:v>
                </c:pt>
                <c:pt idx="7">
                  <c:v>Q3 '21</c:v>
                </c:pt>
                <c:pt idx="8">
                  <c:v>Q4 '21</c:v>
                </c:pt>
                <c:pt idx="9">
                  <c:v>Q1 '22</c:v>
                </c:pt>
                <c:pt idx="10">
                  <c:v>Q2 '22</c:v>
                </c:pt>
                <c:pt idx="11">
                  <c:v>Q3 '22</c:v>
                </c:pt>
                <c:pt idx="12">
                  <c:v>Sep '22</c:v>
                </c:pt>
              </c:strCache>
            </c:strRef>
          </c:cat>
          <c:val>
            <c:numRef>
              <c:f>Sheet1!$B$61:$N$61</c:f>
              <c:numCache>
                <c:formatCode>0%</c:formatCode>
                <c:ptCount val="13"/>
                <c:pt idx="0">
                  <c:v>1.7999999999999999E-2</c:v>
                </c:pt>
                <c:pt idx="1">
                  <c:v>0.16800000000000001</c:v>
                </c:pt>
                <c:pt idx="2">
                  <c:v>0.28699999999999998</c:v>
                </c:pt>
                <c:pt idx="3">
                  <c:v>0.16300000000000001</c:v>
                </c:pt>
                <c:pt idx="4">
                  <c:v>0.14799999999999999</c:v>
                </c:pt>
                <c:pt idx="5">
                  <c:v>4.0000000000000001E-3</c:v>
                </c:pt>
                <c:pt idx="6">
                  <c:v>-9.4E-2</c:v>
                </c:pt>
                <c:pt idx="7">
                  <c:v>2.9000000000000001E-2</c:v>
                </c:pt>
                <c:pt idx="8">
                  <c:v>6.3E-2</c:v>
                </c:pt>
                <c:pt idx="9">
                  <c:v>6.8000000000000005E-2</c:v>
                </c:pt>
                <c:pt idx="10">
                  <c:v>6.9000000000000006E-2</c:v>
                </c:pt>
                <c:pt idx="11">
                  <c:v>0.05</c:v>
                </c:pt>
                <c:pt idx="12" formatCode="0.0%">
                  <c:v>4.1000000000000002E-2</c:v>
                </c:pt>
              </c:numCache>
            </c:numRef>
          </c:val>
          <c:smooth val="0"/>
          <c:extLst>
            <c:ext xmlns:c16="http://schemas.microsoft.com/office/drawing/2014/chart" uri="{C3380CC4-5D6E-409C-BE32-E72D297353CC}">
              <c16:uniqueId val="{00000008-BA88-4516-A2B9-D689185CFB1B}"/>
            </c:ext>
          </c:extLst>
        </c:ser>
        <c:ser>
          <c:idx val="1"/>
          <c:order val="1"/>
          <c:tx>
            <c:strRef>
              <c:f>Sheet1!$A$62</c:f>
              <c:strCache>
                <c:ptCount val="1"/>
                <c:pt idx="0">
                  <c:v>Volume growth</c:v>
                </c:pt>
              </c:strCache>
            </c:strRef>
          </c:tx>
          <c:spPr>
            <a:ln>
              <a:solidFill>
                <a:schemeClr val="accent5"/>
              </a:solidFill>
            </a:ln>
          </c:spPr>
          <c:marker>
            <c:symbol val="none"/>
          </c:marker>
          <c:dLbls>
            <c:dLbl>
              <c:idx val="0"/>
              <c:layout>
                <c:manualLayout>
                  <c:x val="-5.1321962226980815E-2"/>
                  <c:y val="-1.01934223921218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A88-4516-A2B9-D689185CFB1B}"/>
                </c:ext>
              </c:extLst>
            </c:dLbl>
            <c:dLbl>
              <c:idx val="6"/>
              <c:layout>
                <c:manualLayout>
                  <c:x val="-3.9373660244855301E-2"/>
                  <c:y val="3.2175732124407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A88-4516-A2B9-D689185CFB1B}"/>
                </c:ext>
              </c:extLst>
            </c:dLbl>
            <c:dLbl>
              <c:idx val="7"/>
              <c:layout>
                <c:manualLayout>
                  <c:x val="-5.5825970687005885E-2"/>
                  <c:y val="5.68729626099967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A88-4516-A2B9-D689185CFB1B}"/>
                </c:ext>
              </c:extLst>
            </c:dLbl>
            <c:dLbl>
              <c:idx val="8"/>
              <c:layout>
                <c:manualLayout>
                  <c:x val="-4.5129304830870125E-2"/>
                  <c:y val="3.29571571689552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A88-4516-A2B9-D689185CFB1B}"/>
                </c:ext>
              </c:extLst>
            </c:dLbl>
            <c:dLbl>
              <c:idx val="9"/>
              <c:layout>
                <c:manualLayout>
                  <c:x val="-2.6213743318296713E-2"/>
                  <c:y val="2.96164696818554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A88-4516-A2B9-D689185CFB1B}"/>
                </c:ext>
              </c:extLst>
            </c:dLbl>
            <c:dLbl>
              <c:idx val="10"/>
              <c:layout>
                <c:manualLayout>
                  <c:x val="-3.3877582890865156E-2"/>
                  <c:y val="6.14298839638181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A88-4516-A2B9-D689185CFB1B}"/>
                </c:ext>
              </c:extLst>
            </c:dLbl>
            <c:dLbl>
              <c:idx val="11"/>
              <c:layout>
                <c:manualLayout>
                  <c:x val="-3.8178180947511048E-2"/>
                  <c:y val="4.76571311505217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A88-4516-A2B9-D689185CFB1B}"/>
                </c:ext>
              </c:extLst>
            </c:dLbl>
            <c:spPr>
              <a:noFill/>
              <a:ln>
                <a:noFill/>
              </a:ln>
              <a:effectLst/>
            </c:spPr>
            <c:txPr>
              <a:bodyPr wrap="square" lIns="38100" tIns="19050" rIns="38100" bIns="19050" anchor="ctr">
                <a:spAutoFit/>
              </a:bodyPr>
              <a:lstStyle/>
              <a:p>
                <a:pPr>
                  <a:defRPr>
                    <a:solidFill>
                      <a:srgbClr val="00B0F0"/>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Sheet1!$B$60:$N$60</c:f>
              <c:strCache>
                <c:ptCount val="13"/>
                <c:pt idx="0">
                  <c:v>2019</c:v>
                </c:pt>
                <c:pt idx="1">
                  <c:v>Q1 '20</c:v>
                </c:pt>
                <c:pt idx="2">
                  <c:v>Q2 '20</c:v>
                </c:pt>
                <c:pt idx="3">
                  <c:v>Q3 '20</c:v>
                </c:pt>
                <c:pt idx="4">
                  <c:v>Q4 '20</c:v>
                </c:pt>
                <c:pt idx="5">
                  <c:v>Q1 '21</c:v>
                </c:pt>
                <c:pt idx="6">
                  <c:v>Q2 '21</c:v>
                </c:pt>
                <c:pt idx="7">
                  <c:v>Q3 '21</c:v>
                </c:pt>
                <c:pt idx="8">
                  <c:v>Q4 '21</c:v>
                </c:pt>
                <c:pt idx="9">
                  <c:v>Q1 '22</c:v>
                </c:pt>
                <c:pt idx="10">
                  <c:v>Q2 '22</c:v>
                </c:pt>
                <c:pt idx="11">
                  <c:v>Q3 '22</c:v>
                </c:pt>
                <c:pt idx="12">
                  <c:v>Sep '22</c:v>
                </c:pt>
              </c:strCache>
            </c:strRef>
          </c:cat>
          <c:val>
            <c:numRef>
              <c:f>Sheet1!$B$62:$N$62</c:f>
              <c:numCache>
                <c:formatCode>0%</c:formatCode>
                <c:ptCount val="13"/>
                <c:pt idx="0">
                  <c:v>3.0000000000000001E-3</c:v>
                </c:pt>
                <c:pt idx="1">
                  <c:v>0.126</c:v>
                </c:pt>
                <c:pt idx="2">
                  <c:v>0.16300000000000001</c:v>
                </c:pt>
                <c:pt idx="3">
                  <c:v>7.2999999999999995E-2</c:v>
                </c:pt>
                <c:pt idx="4">
                  <c:v>8.1000000000000003E-2</c:v>
                </c:pt>
                <c:pt idx="5">
                  <c:v>-4.2000000000000003E-2</c:v>
                </c:pt>
                <c:pt idx="6">
                  <c:v>-0.115</c:v>
                </c:pt>
                <c:pt idx="7">
                  <c:v>-5.0999999999999997E-2</c:v>
                </c:pt>
                <c:pt idx="8">
                  <c:v>-5.7000000000000002E-2</c:v>
                </c:pt>
                <c:pt idx="9">
                  <c:v>-5.7000000000000002E-2</c:v>
                </c:pt>
                <c:pt idx="10">
                  <c:v>-0.03</c:v>
                </c:pt>
                <c:pt idx="11">
                  <c:v>-0.02</c:v>
                </c:pt>
                <c:pt idx="12" formatCode="0.0%">
                  <c:v>-2.5000000000000001E-2</c:v>
                </c:pt>
              </c:numCache>
            </c:numRef>
          </c:val>
          <c:smooth val="0"/>
          <c:extLst>
            <c:ext xmlns:c16="http://schemas.microsoft.com/office/drawing/2014/chart" uri="{C3380CC4-5D6E-409C-BE32-E72D297353CC}">
              <c16:uniqueId val="{00000010-BA88-4516-A2B9-D689185CFB1B}"/>
            </c:ext>
          </c:extLst>
        </c:ser>
        <c:ser>
          <c:idx val="2"/>
          <c:order val="2"/>
          <c:tx>
            <c:strRef>
              <c:f>Sheet1!$A$63</c:f>
              <c:strCache>
                <c:ptCount val="1"/>
                <c:pt idx="0">
                  <c:v>Dollar growth vs. 2019</c:v>
                </c:pt>
              </c:strCache>
            </c:strRef>
          </c:tx>
          <c:spPr>
            <a:ln>
              <a:noFill/>
            </a:ln>
          </c:spPr>
          <c:marker>
            <c:spPr>
              <a:ln>
                <a:noFill/>
              </a:ln>
            </c:spPr>
          </c:marker>
          <c:dLbls>
            <c:dLbl>
              <c:idx val="5"/>
              <c:layout>
                <c:manualLayout>
                  <c:x val="-3.1537446371855467E-2"/>
                  <c:y val="-3.53481598916955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A88-4516-A2B9-D689185CFB1B}"/>
                </c:ext>
              </c:extLst>
            </c:dLbl>
            <c:dLbl>
              <c:idx val="6"/>
              <c:layout>
                <c:manualLayout>
                  <c:x val="-3.3289526725847438E-2"/>
                  <c:y val="-3.53481598916954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A88-4516-A2B9-D689185CFB1B}"/>
                </c:ext>
              </c:extLst>
            </c:dLbl>
            <c:dLbl>
              <c:idx val="7"/>
              <c:layout>
                <c:manualLayout>
                  <c:x val="-3.0119502916868893E-2"/>
                  <c:y val="-4.06751554205707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A88-4516-A2B9-D689185CFB1B}"/>
                </c:ext>
              </c:extLst>
            </c:dLbl>
            <c:dLbl>
              <c:idx val="8"/>
              <c:layout>
                <c:manualLayout>
                  <c:x val="-4.1681025907888032E-2"/>
                  <c:y val="-2.79397979087249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A88-4516-A2B9-D689185CFB1B}"/>
                </c:ext>
              </c:extLst>
            </c:dLbl>
            <c:dLbl>
              <c:idx val="9"/>
              <c:layout>
                <c:manualLayout>
                  <c:x val="-3.6075058570528687E-2"/>
                  <c:y val="-3.6607612045316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A88-4516-A2B9-D689185CFB1B}"/>
                </c:ext>
              </c:extLst>
            </c:dLbl>
            <c:dLbl>
              <c:idx val="10"/>
              <c:layout>
                <c:manualLayout>
                  <c:x val="-3.1525856415197506E-2"/>
                  <c:y val="-4.47427149764148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A88-4516-A2B9-D689185CFB1B}"/>
                </c:ext>
              </c:extLst>
            </c:dLbl>
            <c:dLbl>
              <c:idx val="11"/>
              <c:layout>
                <c:manualLayout>
                  <c:x val="-4.3493389004871423E-2"/>
                  <c:y val="-3.90486223830504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A88-4516-A2B9-D689185CFB1B}"/>
                </c:ext>
              </c:extLst>
            </c:dLbl>
            <c:dLbl>
              <c:idx val="12"/>
              <c:layout>
                <c:manualLayout>
                  <c:x val="-3.4063260340632603E-2"/>
                  <c:y val="-3.91006742300643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A88-4516-A2B9-D689185CFB1B}"/>
                </c:ext>
              </c:extLst>
            </c:dLbl>
            <c:dLbl>
              <c:idx val="13"/>
              <c:layout>
                <c:manualLayout>
                  <c:x val="-3.4238200048911836E-2"/>
                  <c:y val="-2.93255056725482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A88-4516-A2B9-D689185CFB1B}"/>
                </c:ext>
              </c:extLst>
            </c:dLbl>
            <c:dLbl>
              <c:idx val="14"/>
              <c:layout>
                <c:manualLayout>
                  <c:x val="-3.5202409233353035E-2"/>
                  <c:y val="-3.5254695745035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A88-4516-A2B9-D689185CFB1B}"/>
                </c:ext>
              </c:extLst>
            </c:dLbl>
            <c:dLbl>
              <c:idx val="15"/>
              <c:layout>
                <c:manualLayout>
                  <c:x val="-3.1693205775250748E-2"/>
                  <c:y val="-3.18809598986057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A88-4516-A2B9-D689185CFB1B}"/>
                </c:ext>
              </c:extLst>
            </c:dLbl>
            <c:dLbl>
              <c:idx val="16"/>
              <c:layout>
                <c:manualLayout>
                  <c:x val="-3.3277866064013291E-2"/>
                  <c:y val="-2.47963021433600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BA88-4516-A2B9-D689185CFB1B}"/>
                </c:ext>
              </c:extLst>
            </c:dLbl>
            <c:spPr>
              <a:noFill/>
              <a:ln>
                <a:noFill/>
              </a:ln>
              <a:effectLst/>
            </c:spPr>
            <c:txPr>
              <a:bodyPr wrap="square" lIns="38100" tIns="19050" rIns="38100" bIns="19050" anchor="ctr">
                <a:spAutoFit/>
              </a:bodyPr>
              <a:lstStyle/>
              <a:p>
                <a:pPr>
                  <a:defRPr>
                    <a:solidFill>
                      <a:schemeClr val="accent3">
                        <a:lumMod val="50000"/>
                      </a:schemeClr>
                    </a:solidFill>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Sheet1!$B$60:$N$60</c:f>
              <c:strCache>
                <c:ptCount val="13"/>
                <c:pt idx="0">
                  <c:v>2019</c:v>
                </c:pt>
                <c:pt idx="1">
                  <c:v>Q1 '20</c:v>
                </c:pt>
                <c:pt idx="2">
                  <c:v>Q2 '20</c:v>
                </c:pt>
                <c:pt idx="3">
                  <c:v>Q3 '20</c:v>
                </c:pt>
                <c:pt idx="4">
                  <c:v>Q4 '20</c:v>
                </c:pt>
                <c:pt idx="5">
                  <c:v>Q1 '21</c:v>
                </c:pt>
                <c:pt idx="6">
                  <c:v>Q2 '21</c:v>
                </c:pt>
                <c:pt idx="7">
                  <c:v>Q3 '21</c:v>
                </c:pt>
                <c:pt idx="8">
                  <c:v>Q4 '21</c:v>
                </c:pt>
                <c:pt idx="9">
                  <c:v>Q1 '22</c:v>
                </c:pt>
                <c:pt idx="10">
                  <c:v>Q2 '22</c:v>
                </c:pt>
                <c:pt idx="11">
                  <c:v>Q3 '22</c:v>
                </c:pt>
                <c:pt idx="12">
                  <c:v>Sep '22</c:v>
                </c:pt>
              </c:strCache>
            </c:strRef>
          </c:cat>
          <c:val>
            <c:numRef>
              <c:f>Sheet1!$B$63:$N$63</c:f>
              <c:numCache>
                <c:formatCode>General</c:formatCode>
                <c:ptCount val="13"/>
                <c:pt idx="5" formatCode="0%">
                  <c:v>0.17299999999999999</c:v>
                </c:pt>
                <c:pt idx="6" formatCode="0%">
                  <c:v>0.16700000000000001</c:v>
                </c:pt>
                <c:pt idx="7" formatCode="0%">
                  <c:v>0.19700000000000001</c:v>
                </c:pt>
                <c:pt idx="8" formatCode="0%">
                  <c:v>0.221</c:v>
                </c:pt>
                <c:pt idx="9" formatCode="0%">
                  <c:v>0.252</c:v>
                </c:pt>
                <c:pt idx="10" formatCode="0%">
                  <c:v>0.248</c:v>
                </c:pt>
                <c:pt idx="11" formatCode="0%">
                  <c:v>0.25700000000000001</c:v>
                </c:pt>
                <c:pt idx="12" formatCode="0.0%">
                  <c:v>0.28399999999999997</c:v>
                </c:pt>
              </c:numCache>
            </c:numRef>
          </c:val>
          <c:smooth val="0"/>
          <c:extLst>
            <c:ext xmlns:c16="http://schemas.microsoft.com/office/drawing/2014/chart" uri="{C3380CC4-5D6E-409C-BE32-E72D297353CC}">
              <c16:uniqueId val="{0000001D-BA88-4516-A2B9-D689185CFB1B}"/>
            </c:ext>
          </c:extLst>
        </c:ser>
        <c:ser>
          <c:idx val="3"/>
          <c:order val="3"/>
          <c:tx>
            <c:strRef>
              <c:f>Sheet1!$A$64</c:f>
              <c:strCache>
                <c:ptCount val="1"/>
                <c:pt idx="0">
                  <c:v>Volume growth vs. 2019</c:v>
                </c:pt>
              </c:strCache>
            </c:strRef>
          </c:tx>
          <c:spPr>
            <a:ln>
              <a:noFill/>
            </a:ln>
          </c:spPr>
          <c:marker>
            <c:spPr>
              <a:solidFill>
                <a:schemeClr val="accent6"/>
              </a:solidFill>
              <a:ln>
                <a:noFill/>
              </a:ln>
            </c:spPr>
          </c:marker>
          <c:dLbls>
            <c:dLbl>
              <c:idx val="5"/>
              <c:layout>
                <c:manualLayout>
                  <c:x val="-2.8033285663871525E-2"/>
                  <c:y val="-4.24177918700345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BA88-4516-A2B9-D689185CFB1B}"/>
                </c:ext>
              </c:extLst>
            </c:dLbl>
            <c:dLbl>
              <c:idx val="6"/>
              <c:layout>
                <c:manualLayout>
                  <c:x val="-2.6281205309879554E-2"/>
                  <c:y val="-3.88829758808650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BA88-4516-A2B9-D689185CFB1B}"/>
                </c:ext>
              </c:extLst>
            </c:dLbl>
            <c:dLbl>
              <c:idx val="7"/>
              <c:layout>
                <c:manualLayout>
                  <c:x val="-3.4713477882070631E-2"/>
                  <c:y val="-4.06752042317183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BA88-4516-A2B9-D689185CFB1B}"/>
                </c:ext>
              </c:extLst>
            </c:dLbl>
            <c:dLbl>
              <c:idx val="8"/>
              <c:layout>
                <c:manualLayout>
                  <c:x val="-2.7668245930276031E-2"/>
                  <c:y val="-3.76730668174856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BA88-4516-A2B9-D689185CFB1B}"/>
                </c:ext>
              </c:extLst>
            </c:dLbl>
            <c:dLbl>
              <c:idx val="9"/>
              <c:layout>
                <c:manualLayout>
                  <c:x val="-2.6265753892584506E-2"/>
                  <c:y val="-4.88102421710784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BA88-4516-A2B9-D689185CFB1B}"/>
                </c:ext>
              </c:extLst>
            </c:dLbl>
            <c:dLbl>
              <c:idx val="10"/>
              <c:layout>
                <c:manualLayout>
                  <c:x val="-2.6968931338592277E-2"/>
                  <c:y val="-2.70686188499769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BA88-4516-A2B9-D689185CFB1B}"/>
                </c:ext>
              </c:extLst>
            </c:dLbl>
            <c:dLbl>
              <c:idx val="11"/>
              <c:layout>
                <c:manualLayout>
                  <c:x val="-3.3030301608906548E-2"/>
                  <c:y val="-2.84140755816024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BA88-4516-A2B9-D689185CFB1B}"/>
                </c:ext>
              </c:extLst>
            </c:dLbl>
            <c:dLbl>
              <c:idx val="12"/>
              <c:layout>
                <c:manualLayout>
                  <c:x val="-6.2439810522939478E-3"/>
                  <c:y val="1.144249632656410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BA88-4516-A2B9-D689185CFB1B}"/>
                </c:ext>
              </c:extLst>
            </c:dLbl>
            <c:dLbl>
              <c:idx val="13"/>
              <c:layout>
                <c:manualLayout>
                  <c:x val="-2.6086247656313837E-2"/>
                  <c:y val="2.28087266342042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BA88-4516-A2B9-D689185CFB1B}"/>
                </c:ext>
              </c:extLst>
            </c:dLbl>
            <c:dLbl>
              <c:idx val="15"/>
              <c:layout>
                <c:manualLayout>
                  <c:x val="-2.0600583753912986E-2"/>
                  <c:y val="-2.83386310209828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BA88-4516-A2B9-D689185CFB1B}"/>
                </c:ext>
              </c:extLst>
            </c:dLbl>
            <c:dLbl>
              <c:idx val="16"/>
              <c:layout>
                <c:manualLayout>
                  <c:x val="-3.0108545486488097E-2"/>
                  <c:y val="-2.83386310209828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BA88-4516-A2B9-D689185CFB1B}"/>
                </c:ext>
              </c:extLst>
            </c:dLbl>
            <c:spPr>
              <a:noFill/>
              <a:ln>
                <a:noFill/>
              </a:ln>
              <a:effectLst/>
            </c:spPr>
            <c:txPr>
              <a:bodyPr wrap="square" lIns="38100" tIns="19050" rIns="38100" bIns="19050" anchor="ctr">
                <a:spAutoFit/>
              </a:bodyPr>
              <a:lstStyle/>
              <a:p>
                <a:pPr>
                  <a:defRPr>
                    <a:solidFill>
                      <a:schemeClr val="accent6">
                        <a:lumMod val="75000"/>
                      </a:schemeClr>
                    </a:solidFill>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Sheet1!$B$60:$N$60</c:f>
              <c:strCache>
                <c:ptCount val="13"/>
                <c:pt idx="0">
                  <c:v>2019</c:v>
                </c:pt>
                <c:pt idx="1">
                  <c:v>Q1 '20</c:v>
                </c:pt>
                <c:pt idx="2">
                  <c:v>Q2 '20</c:v>
                </c:pt>
                <c:pt idx="3">
                  <c:v>Q3 '20</c:v>
                </c:pt>
                <c:pt idx="4">
                  <c:v>Q4 '20</c:v>
                </c:pt>
                <c:pt idx="5">
                  <c:v>Q1 '21</c:v>
                </c:pt>
                <c:pt idx="6">
                  <c:v>Q2 '21</c:v>
                </c:pt>
                <c:pt idx="7">
                  <c:v>Q3 '21</c:v>
                </c:pt>
                <c:pt idx="8">
                  <c:v>Q4 '21</c:v>
                </c:pt>
                <c:pt idx="9">
                  <c:v>Q1 '22</c:v>
                </c:pt>
                <c:pt idx="10">
                  <c:v>Q2 '22</c:v>
                </c:pt>
                <c:pt idx="11">
                  <c:v>Q3 '22</c:v>
                </c:pt>
                <c:pt idx="12">
                  <c:v>Sep '22</c:v>
                </c:pt>
              </c:strCache>
            </c:strRef>
          </c:cat>
          <c:val>
            <c:numRef>
              <c:f>Sheet1!$B$64:$N$64</c:f>
              <c:numCache>
                <c:formatCode>General</c:formatCode>
                <c:ptCount val="13"/>
                <c:pt idx="5" formatCode="0%">
                  <c:v>7.9000000000000001E-2</c:v>
                </c:pt>
                <c:pt idx="6" formatCode="0%">
                  <c:v>2.9000000000000001E-2</c:v>
                </c:pt>
                <c:pt idx="7" formatCode="0%">
                  <c:v>1.7999999999999999E-2</c:v>
                </c:pt>
                <c:pt idx="8" formatCode="0%">
                  <c:v>0.02</c:v>
                </c:pt>
                <c:pt idx="9" formatCode="0%">
                  <c:v>1.7000000000000001E-2</c:v>
                </c:pt>
                <c:pt idx="10" formatCode="0%">
                  <c:v>-2E-3</c:v>
                </c:pt>
                <c:pt idx="11" formatCode="0%">
                  <c:v>-2E-3</c:v>
                </c:pt>
                <c:pt idx="12" formatCode="0.0%">
                  <c:v>1.7000000000000001E-2</c:v>
                </c:pt>
              </c:numCache>
            </c:numRef>
          </c:val>
          <c:smooth val="0"/>
          <c:extLst>
            <c:ext xmlns:c16="http://schemas.microsoft.com/office/drawing/2014/chart" uri="{C3380CC4-5D6E-409C-BE32-E72D297353CC}">
              <c16:uniqueId val="{00000029-BA88-4516-A2B9-D689185CFB1B}"/>
            </c:ext>
          </c:extLst>
        </c:ser>
        <c:dLbls>
          <c:showLegendKey val="0"/>
          <c:showVal val="0"/>
          <c:showCatName val="0"/>
          <c:showSerName val="0"/>
          <c:showPercent val="0"/>
          <c:showBubbleSize val="0"/>
        </c:dLbls>
        <c:smooth val="0"/>
        <c:axId val="151235968"/>
        <c:axId val="155206784"/>
      </c:lineChart>
      <c:catAx>
        <c:axId val="151235968"/>
        <c:scaling>
          <c:orientation val="minMax"/>
        </c:scaling>
        <c:delete val="0"/>
        <c:axPos val="b"/>
        <c:numFmt formatCode="General" sourceLinked="0"/>
        <c:majorTickMark val="none"/>
        <c:minorTickMark val="none"/>
        <c:tickLblPos val="nextTo"/>
        <c:crossAx val="155206784"/>
        <c:crosses val="autoZero"/>
        <c:auto val="1"/>
        <c:lblAlgn val="ctr"/>
        <c:lblOffset val="100"/>
        <c:noMultiLvlLbl val="0"/>
      </c:catAx>
      <c:valAx>
        <c:axId val="155206784"/>
        <c:scaling>
          <c:orientation val="minMax"/>
        </c:scaling>
        <c:delete val="1"/>
        <c:axPos val="l"/>
        <c:majorGridlines>
          <c:spPr>
            <a:ln>
              <a:solidFill>
                <a:schemeClr val="bg1">
                  <a:lumMod val="95000"/>
                </a:schemeClr>
              </a:solidFill>
            </a:ln>
          </c:spPr>
        </c:majorGridlines>
        <c:numFmt formatCode="0%" sourceLinked="1"/>
        <c:majorTickMark val="none"/>
        <c:minorTickMark val="none"/>
        <c:tickLblPos val="none"/>
        <c:crossAx val="151235968"/>
        <c:crosses val="autoZero"/>
        <c:crossBetween val="between"/>
      </c:valAx>
    </c:plotArea>
    <c:legend>
      <c:legendPos val="b"/>
      <c:layout>
        <c:manualLayout>
          <c:xMode val="edge"/>
          <c:yMode val="edge"/>
          <c:x val="9.709353322316841E-2"/>
          <c:y val="9.479402321065955E-2"/>
          <c:w val="0.85136702275745446"/>
          <c:h val="6.3919771366988495E-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A48F4E56677346B8B6B6DC9D1A203F" ma:contentTypeVersion="13" ma:contentTypeDescription="Een nieuw document maken." ma:contentTypeScope="" ma:versionID="d57e4307d27a30ad0d6cc2bf7168855b">
  <xsd:schema xmlns:xsd="http://www.w3.org/2001/XMLSchema" xmlns:xs="http://www.w3.org/2001/XMLSchema" xmlns:p="http://schemas.microsoft.com/office/2006/metadata/properties" xmlns:ns3="04ecfae2-967b-44ca-8562-dbbba9285d98" xmlns:ns4="c8776cbc-5a4b-4a58-aaa1-d6097b0be41a" targetNamespace="http://schemas.microsoft.com/office/2006/metadata/properties" ma:root="true" ma:fieldsID="642f5543e661a72305d0b2498dc2a97b" ns3:_="" ns4:_="">
    <xsd:import namespace="04ecfae2-967b-44ca-8562-dbbba9285d98"/>
    <xsd:import namespace="c8776cbc-5a4b-4a58-aaa1-d6097b0be4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cfae2-967b-44ca-8562-dbbba9285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76cbc-5a4b-4a58-aaa1-d6097b0be41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D09CB-37A9-4EFA-9F6E-CBE7238B2853}">
  <ds:schemaRefs>
    <ds:schemaRef ds:uri="http://schemas.microsoft.com/sharepoint/v3/contenttype/forms"/>
  </ds:schemaRefs>
</ds:datastoreItem>
</file>

<file path=customXml/itemProps2.xml><?xml version="1.0" encoding="utf-8"?>
<ds:datastoreItem xmlns:ds="http://schemas.openxmlformats.org/officeDocument/2006/customXml" ds:itemID="{85CA2469-2F2A-4F5C-8C07-123F4AD0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cfae2-967b-44ca-8562-dbbba9285d98"/>
    <ds:schemaRef ds:uri="c8776cbc-5a4b-4a58-aaa1-d6097b0be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DCF78-6123-424C-B8BA-493B8FF4FC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0136F9-6F72-438F-9E67-3630C4E1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2021</Words>
  <Characters>11524</Characters>
  <Application>Microsoft Office Word</Application>
  <DocSecurity>0</DocSecurity>
  <Lines>96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Tom Super</cp:lastModifiedBy>
  <cp:revision>2</cp:revision>
  <dcterms:created xsi:type="dcterms:W3CDTF">2022-10-13T19:48:00Z</dcterms:created>
  <dcterms:modified xsi:type="dcterms:W3CDTF">2022-10-13T19:48:00Z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0x01010082A48F4E56677346B8B6B6DC9D1A203F</vt:lpwstr>
  </property>
</Properties>
</file>