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2368" w14:textId="54C0ACEF" w:rsidR="00C72B5E" w:rsidRPr="006B43A4" w:rsidRDefault="003E1369" w:rsidP="00570B8A">
      <w:pPr>
        <w:pStyle w:val="Heading1"/>
      </w:pPr>
      <w:bookmarkStart w:id="0" w:name="_Hlk150691277"/>
      <w:r>
        <w:t>Meat Was the Strongest Perimeter Department in June 2025</w:t>
      </w:r>
    </w:p>
    <w:bookmarkEnd w:id="0"/>
    <w:p w14:paraId="32EF5C27" w14:textId="77777777" w:rsidR="00477835" w:rsidRPr="00E35E79" w:rsidRDefault="00477835" w:rsidP="00FB129D">
      <w:pPr>
        <w:pStyle w:val="Heading1"/>
        <w:spacing w:before="0"/>
        <w:rPr>
          <w:rFonts w:ascii="Arial" w:hAnsi="Arial" w:cs="Arial"/>
          <w:color w:val="1F497D" w:themeColor="text2"/>
          <w:sz w:val="20"/>
          <w:szCs w:val="20"/>
        </w:rPr>
      </w:pPr>
      <w:r w:rsidRPr="00E35E79">
        <w:rPr>
          <w:rFonts w:ascii="Arial" w:hAnsi="Arial" w:cs="Arial"/>
          <w:color w:val="1F497D" w:themeColor="text2"/>
          <w:sz w:val="20"/>
          <w:szCs w:val="20"/>
        </w:rPr>
        <w:t xml:space="preserve">By: </w:t>
      </w:r>
      <w:r w:rsidR="00825B09" w:rsidRPr="00E35E79">
        <w:rPr>
          <w:rFonts w:ascii="Arial" w:hAnsi="Arial" w:cs="Arial"/>
          <w:color w:val="1F497D" w:themeColor="text2"/>
          <w:sz w:val="20"/>
          <w:szCs w:val="20"/>
        </w:rPr>
        <w:t xml:space="preserve">Anne-Marie </w:t>
      </w:r>
      <w:proofErr w:type="spellStart"/>
      <w:r w:rsidR="00825B09" w:rsidRPr="00E35E79">
        <w:rPr>
          <w:rFonts w:ascii="Arial" w:hAnsi="Arial" w:cs="Arial"/>
          <w:color w:val="1F497D" w:themeColor="text2"/>
          <w:sz w:val="20"/>
          <w:szCs w:val="20"/>
        </w:rPr>
        <w:t>Roerink</w:t>
      </w:r>
      <w:proofErr w:type="spellEnd"/>
      <w:r w:rsidR="00825B09" w:rsidRPr="00E35E79">
        <w:rPr>
          <w:rFonts w:ascii="Arial" w:hAnsi="Arial" w:cs="Arial"/>
          <w:color w:val="1F497D" w:themeColor="text2"/>
          <w:sz w:val="20"/>
          <w:szCs w:val="20"/>
        </w:rPr>
        <w:t>, President, 210 Analytics LLC</w:t>
      </w:r>
    </w:p>
    <w:p w14:paraId="5A9FAF66" w14:textId="00C203EB" w:rsidR="004B75E4" w:rsidRDefault="004B75E4" w:rsidP="00D85BA4">
      <w:pPr>
        <w:pStyle w:val="NoSpacing"/>
        <w:rPr>
          <w:rFonts w:ascii="Arial" w:hAnsi="Arial" w:cs="Arial"/>
          <w:b/>
          <w:bCs/>
          <w:color w:val="595959" w:themeColor="text1" w:themeTint="A6"/>
          <w:sz w:val="24"/>
        </w:rPr>
      </w:pPr>
    </w:p>
    <w:p w14:paraId="1D89C56D" w14:textId="78BBD7B5" w:rsidR="00A13AC1" w:rsidRPr="001A2D10" w:rsidRDefault="003E1369" w:rsidP="00A13AC1">
      <w:pPr>
        <w:pStyle w:val="NoSpacing"/>
        <w:rPr>
          <w:rFonts w:ascii="Arial" w:hAnsi="Arial" w:cs="Arial"/>
          <w:b/>
          <w:bCs/>
          <w:color w:val="595959" w:themeColor="text1" w:themeTint="A6"/>
          <w:sz w:val="24"/>
          <w:szCs w:val="24"/>
        </w:rPr>
      </w:pPr>
      <w:bookmarkStart w:id="1" w:name="_Hlk187590832"/>
      <w:bookmarkStart w:id="2" w:name="_Hlk174083389"/>
      <w:bookmarkStart w:id="3" w:name="_Hlk174043741"/>
      <w:bookmarkStart w:id="4" w:name="_Hlk179721807"/>
      <w:bookmarkStart w:id="5" w:name="_Hlk187580162"/>
      <w:r>
        <w:rPr>
          <w:rFonts w:ascii="Arial" w:hAnsi="Arial" w:cs="Arial"/>
          <w:b/>
          <w:bCs/>
          <w:color w:val="595959" w:themeColor="text1" w:themeTint="A6"/>
          <w:sz w:val="24"/>
          <w:szCs w:val="24"/>
        </w:rPr>
        <w:t>June</w:t>
      </w:r>
      <w:r w:rsidR="00156CC6">
        <w:rPr>
          <w:rFonts w:ascii="Arial" w:hAnsi="Arial" w:cs="Arial"/>
          <w:b/>
          <w:bCs/>
          <w:color w:val="595959" w:themeColor="text1" w:themeTint="A6"/>
          <w:sz w:val="24"/>
          <w:szCs w:val="24"/>
        </w:rPr>
        <w:t xml:space="preserve"> </w:t>
      </w:r>
      <w:r w:rsidR="00A13AC1" w:rsidRPr="001A2D10">
        <w:rPr>
          <w:rFonts w:ascii="Arial" w:hAnsi="Arial" w:cs="Arial"/>
          <w:b/>
          <w:bCs/>
          <w:color w:val="595959" w:themeColor="text1" w:themeTint="A6"/>
          <w:sz w:val="24"/>
          <w:szCs w:val="24"/>
        </w:rPr>
        <w:t>Review</w:t>
      </w:r>
    </w:p>
    <w:p w14:paraId="4F9E3A70" w14:textId="3465AA46" w:rsidR="003E1369" w:rsidRPr="00F809D5" w:rsidRDefault="003E1369" w:rsidP="003E1369">
      <w:pPr>
        <w:pStyle w:val="NoSpacing"/>
        <w:numPr>
          <w:ilvl w:val="0"/>
          <w:numId w:val="31"/>
        </w:numPr>
        <w:rPr>
          <w:rFonts w:ascii="Arial" w:hAnsi="Arial" w:cs="Arial"/>
          <w:sz w:val="20"/>
          <w:szCs w:val="20"/>
        </w:rPr>
      </w:pPr>
      <w:bookmarkStart w:id="6" w:name="_Hlk203004305"/>
      <w:bookmarkEnd w:id="1"/>
      <w:r w:rsidRPr="00F809D5">
        <w:rPr>
          <w:rFonts w:ascii="Arial" w:hAnsi="Arial" w:cs="Arial"/>
          <w:sz w:val="20"/>
          <w:szCs w:val="20"/>
        </w:rPr>
        <w:t xml:space="preserve">After plateauing in May, consumer sentiment improved in June 2025, according to the University of Michigan. The index increased to 60.7 points from 52.2 points in May. The improvement was seen across numerous facets of the economy, with expectations for personal finances and business conditions climbing about 20% or more. Despite June’s gains, sentiment remains about 18% below December 2024. </w:t>
      </w:r>
    </w:p>
    <w:p w14:paraId="0434B5A8" w14:textId="77777777" w:rsidR="003E1369" w:rsidRPr="00F809D5" w:rsidRDefault="003E1369" w:rsidP="003E1369">
      <w:pPr>
        <w:pStyle w:val="NoSpacing"/>
        <w:numPr>
          <w:ilvl w:val="0"/>
          <w:numId w:val="31"/>
        </w:numPr>
        <w:rPr>
          <w:rFonts w:ascii="Arial" w:hAnsi="Arial" w:cs="Arial"/>
          <w:sz w:val="20"/>
          <w:szCs w:val="20"/>
        </w:rPr>
      </w:pPr>
      <w:r w:rsidRPr="00F809D5">
        <w:rPr>
          <w:rFonts w:ascii="Arial" w:hAnsi="Arial" w:cs="Arial"/>
          <w:sz w:val="20"/>
          <w:szCs w:val="20"/>
        </w:rPr>
        <w:t xml:space="preserve">Several publicly-traded retail and foodservice companies added language on tariffs in the risk sections of their annual and quarterly reporting. Consumer sentiment relative to tariffs held steady in May after support fell for several months over concerns regarding their potential impact on prices, product availability and employment. </w:t>
      </w:r>
    </w:p>
    <w:p w14:paraId="75298EC6" w14:textId="77777777" w:rsidR="003E1369" w:rsidRDefault="003E1369" w:rsidP="003E1369">
      <w:pPr>
        <w:pStyle w:val="NoSpacing"/>
        <w:numPr>
          <w:ilvl w:val="0"/>
          <w:numId w:val="31"/>
        </w:numPr>
        <w:rPr>
          <w:rFonts w:ascii="Arial" w:hAnsi="Arial" w:cs="Arial"/>
          <w:sz w:val="20"/>
          <w:szCs w:val="20"/>
        </w:rPr>
      </w:pPr>
      <w:r w:rsidRPr="00F809D5">
        <w:rPr>
          <w:rFonts w:ascii="Arial" w:hAnsi="Arial" w:cs="Arial"/>
          <w:sz w:val="20"/>
          <w:szCs w:val="20"/>
        </w:rPr>
        <w:t xml:space="preserve">The Consumer Price Index rose 2.4% year-over-year in May, according to federal data, mostly unchanged from April. Consumer food costs increased 2.9%, including 3.8% for restaurants. Already starting a higher price point, the above-average increases for foodservice means a continued retail-centric meal landscape for most consumers. </w:t>
      </w:r>
    </w:p>
    <w:p w14:paraId="717FC15B" w14:textId="3D27A2B5" w:rsidR="003E1369" w:rsidRDefault="003E1369" w:rsidP="003E1369">
      <w:pPr>
        <w:pStyle w:val="NoSpacing"/>
        <w:numPr>
          <w:ilvl w:val="0"/>
          <w:numId w:val="31"/>
        </w:numPr>
        <w:rPr>
          <w:rFonts w:ascii="Arial" w:hAnsi="Arial" w:cs="Arial"/>
          <w:sz w:val="20"/>
          <w:szCs w:val="20"/>
        </w:rPr>
      </w:pPr>
      <w:r>
        <w:rPr>
          <w:rFonts w:ascii="Arial" w:hAnsi="Arial" w:cs="Arial"/>
          <w:sz w:val="20"/>
          <w:szCs w:val="20"/>
        </w:rPr>
        <w:t xml:space="preserve">Combined with the nation’s focus on protein, this has led to a very strong </w:t>
      </w:r>
      <w:r w:rsidR="009D0633">
        <w:rPr>
          <w:rFonts w:ascii="Arial" w:hAnsi="Arial" w:cs="Arial"/>
          <w:sz w:val="20"/>
          <w:szCs w:val="20"/>
        </w:rPr>
        <w:t>first half of 2025</w:t>
      </w:r>
      <w:r>
        <w:rPr>
          <w:rFonts w:ascii="Arial" w:hAnsi="Arial" w:cs="Arial"/>
          <w:sz w:val="20"/>
          <w:szCs w:val="20"/>
        </w:rPr>
        <w:t xml:space="preserve"> for the meat department. Led by beef and chicken, most proteins have gained during the first six months of the year. In the weeks through June 29</w:t>
      </w:r>
      <w:r w:rsidRPr="003E1369">
        <w:rPr>
          <w:rFonts w:ascii="Arial" w:hAnsi="Arial" w:cs="Arial"/>
          <w:sz w:val="20"/>
          <w:szCs w:val="20"/>
          <w:vertAlign w:val="superscript"/>
        </w:rPr>
        <w:t>th</w:t>
      </w:r>
      <w:r>
        <w:rPr>
          <w:rFonts w:ascii="Arial" w:hAnsi="Arial" w:cs="Arial"/>
          <w:sz w:val="20"/>
          <w:szCs w:val="20"/>
        </w:rPr>
        <w:t xml:space="preserve">, </w:t>
      </w:r>
      <w:r w:rsidR="009B42ED">
        <w:rPr>
          <w:rFonts w:ascii="Arial" w:hAnsi="Arial" w:cs="Arial"/>
          <w:sz w:val="20"/>
          <w:szCs w:val="20"/>
        </w:rPr>
        <w:t>the meat department</w:t>
      </w:r>
      <w:r>
        <w:rPr>
          <w:rFonts w:ascii="Arial" w:hAnsi="Arial" w:cs="Arial"/>
          <w:sz w:val="20"/>
          <w:szCs w:val="20"/>
        </w:rPr>
        <w:t xml:space="preserve"> generated upwards of $54 </w:t>
      </w:r>
      <w:r w:rsidR="009B42ED">
        <w:rPr>
          <w:rFonts w:ascii="Arial" w:hAnsi="Arial" w:cs="Arial"/>
          <w:sz w:val="20"/>
          <w:szCs w:val="20"/>
        </w:rPr>
        <w:t>b</w:t>
      </w:r>
      <w:r>
        <w:rPr>
          <w:rFonts w:ascii="Arial" w:hAnsi="Arial" w:cs="Arial"/>
          <w:sz w:val="20"/>
          <w:szCs w:val="20"/>
        </w:rPr>
        <w:t xml:space="preserve">illion, up 7.1% in dollars and 2.8% in pounds. </w:t>
      </w:r>
    </w:p>
    <w:p w14:paraId="6BE1B60B" w14:textId="39C1AEAA" w:rsidR="009D0633" w:rsidRDefault="009D0633" w:rsidP="003E1369">
      <w:pPr>
        <w:pStyle w:val="NoSpacing"/>
        <w:numPr>
          <w:ilvl w:val="0"/>
          <w:numId w:val="31"/>
        </w:numPr>
        <w:rPr>
          <w:rFonts w:ascii="Arial" w:hAnsi="Arial" w:cs="Arial"/>
          <w:sz w:val="20"/>
          <w:szCs w:val="20"/>
        </w:rPr>
      </w:pPr>
      <w:r>
        <w:rPr>
          <w:rFonts w:ascii="Arial" w:hAnsi="Arial" w:cs="Arial"/>
          <w:sz w:val="20"/>
          <w:szCs w:val="20"/>
        </w:rPr>
        <w:t xml:space="preserve">This increase is supported by 98.2% of households purchasing meat/poultry at least once. The average spend per household is up 6.9%, reaching $426 during the first half of the year. Units per trips are down 1.5% as consumers are mixing in larger pack sizes to save over time. They are also shopping for meat/poultry more frequently. The average household has already purchased meat 26 times, up 5.3% versus the first half of 2024. </w:t>
      </w:r>
    </w:p>
    <w:bookmarkEnd w:id="6"/>
    <w:p w14:paraId="144EB184" w14:textId="77777777" w:rsidR="00151AA6" w:rsidRPr="003830CA" w:rsidRDefault="00151AA6" w:rsidP="00CB5A45">
      <w:pPr>
        <w:pStyle w:val="NoSpacing"/>
        <w:rPr>
          <w:rFonts w:ascii="Arial" w:hAnsi="Arial" w:cs="Arial"/>
          <w:sz w:val="20"/>
          <w:szCs w:val="20"/>
        </w:rPr>
      </w:pPr>
    </w:p>
    <w:bookmarkEnd w:id="2"/>
    <w:bookmarkEnd w:id="3"/>
    <w:bookmarkEnd w:id="4"/>
    <w:bookmarkEnd w:id="5"/>
    <w:p w14:paraId="7A1C03FB" w14:textId="77777777" w:rsidR="00156CC6" w:rsidRPr="003830CA" w:rsidRDefault="00156CC6" w:rsidP="00156CC6">
      <w:pPr>
        <w:pStyle w:val="NoSpacing"/>
        <w:rPr>
          <w:rFonts w:ascii="Arial" w:hAnsi="Arial" w:cs="Arial"/>
          <w:b/>
          <w:color w:val="595959" w:themeColor="text1" w:themeTint="A6"/>
          <w:sz w:val="24"/>
          <w:szCs w:val="24"/>
        </w:rPr>
      </w:pPr>
      <w:r w:rsidRPr="003830CA">
        <w:rPr>
          <w:rFonts w:ascii="Arial" w:hAnsi="Arial" w:cs="Arial"/>
          <w:b/>
          <w:color w:val="595959" w:themeColor="text1" w:themeTint="A6"/>
          <w:sz w:val="24"/>
          <w:szCs w:val="24"/>
        </w:rPr>
        <w:t>Inflation Insights</w:t>
      </w:r>
    </w:p>
    <w:p w14:paraId="2226081F" w14:textId="77777777" w:rsidR="003E1369" w:rsidRDefault="00156CC6" w:rsidP="00156CC6">
      <w:pPr>
        <w:pStyle w:val="NoSpacing"/>
        <w:rPr>
          <w:rFonts w:ascii="Arial" w:hAnsi="Arial" w:cs="Arial"/>
          <w:sz w:val="20"/>
          <w:szCs w:val="20"/>
        </w:rPr>
      </w:pPr>
      <w:bookmarkStart w:id="7" w:name="_Hlk182721801"/>
      <w:r w:rsidRPr="003830CA">
        <w:rPr>
          <w:rFonts w:ascii="Arial" w:hAnsi="Arial" w:cs="Arial"/>
          <w:sz w:val="20"/>
          <w:szCs w:val="20"/>
        </w:rPr>
        <w:t xml:space="preserve">In </w:t>
      </w:r>
      <w:r w:rsidR="000A2703">
        <w:rPr>
          <w:rFonts w:ascii="Arial" w:hAnsi="Arial" w:cs="Arial"/>
          <w:sz w:val="20"/>
          <w:szCs w:val="20"/>
        </w:rPr>
        <w:t>June</w:t>
      </w:r>
      <w:r>
        <w:rPr>
          <w:rFonts w:ascii="Arial" w:hAnsi="Arial" w:cs="Arial"/>
          <w:sz w:val="20"/>
          <w:szCs w:val="20"/>
        </w:rPr>
        <w:t xml:space="preserve"> </w:t>
      </w:r>
      <w:r w:rsidRPr="003830CA">
        <w:rPr>
          <w:rFonts w:ascii="Arial" w:hAnsi="Arial" w:cs="Arial"/>
          <w:sz w:val="20"/>
          <w:szCs w:val="20"/>
        </w:rPr>
        <w:t xml:space="preserve">2025 (the </w:t>
      </w:r>
      <w:r w:rsidR="000A2703">
        <w:rPr>
          <w:rFonts w:ascii="Arial" w:hAnsi="Arial" w:cs="Arial"/>
          <w:sz w:val="20"/>
          <w:szCs w:val="20"/>
        </w:rPr>
        <w:t>four</w:t>
      </w:r>
      <w:r w:rsidRPr="003830CA">
        <w:rPr>
          <w:rFonts w:ascii="Arial" w:hAnsi="Arial" w:cs="Arial"/>
          <w:sz w:val="20"/>
          <w:szCs w:val="20"/>
        </w:rPr>
        <w:t xml:space="preserve"> weeks ending </w:t>
      </w:r>
      <w:r w:rsidR="00EC2C7C">
        <w:rPr>
          <w:rFonts w:ascii="Arial" w:hAnsi="Arial" w:cs="Arial"/>
          <w:sz w:val="20"/>
          <w:szCs w:val="20"/>
        </w:rPr>
        <w:t>6</w:t>
      </w:r>
      <w:r w:rsidRPr="003830CA">
        <w:rPr>
          <w:rFonts w:ascii="Arial" w:hAnsi="Arial" w:cs="Arial"/>
          <w:sz w:val="20"/>
          <w:szCs w:val="20"/>
        </w:rPr>
        <w:t>/</w:t>
      </w:r>
      <w:r w:rsidR="000A2703">
        <w:rPr>
          <w:rFonts w:ascii="Arial" w:hAnsi="Arial" w:cs="Arial"/>
          <w:sz w:val="20"/>
          <w:szCs w:val="20"/>
        </w:rPr>
        <w:t>29</w:t>
      </w:r>
      <w:r w:rsidRPr="003830CA">
        <w:rPr>
          <w:rFonts w:ascii="Arial" w:hAnsi="Arial" w:cs="Arial"/>
          <w:sz w:val="20"/>
          <w:szCs w:val="20"/>
        </w:rPr>
        <w:t xml:space="preserve">/2025), the price per unit across all foods and beverages in the </w:t>
      </w:r>
      <w:proofErr w:type="spellStart"/>
      <w:r w:rsidRPr="003830CA">
        <w:rPr>
          <w:rFonts w:ascii="Arial" w:hAnsi="Arial" w:cs="Arial"/>
          <w:sz w:val="20"/>
          <w:szCs w:val="20"/>
        </w:rPr>
        <w:t>Circana</w:t>
      </w:r>
      <w:proofErr w:type="spellEnd"/>
      <w:r w:rsidR="00D07BDF">
        <w:rPr>
          <w:rFonts w:ascii="Arial" w:hAnsi="Arial" w:cs="Arial"/>
          <w:sz w:val="20"/>
          <w:szCs w:val="20"/>
        </w:rPr>
        <w:t xml:space="preserve"> MULO+ universe stood at $</w:t>
      </w:r>
      <w:r w:rsidR="005546EA">
        <w:rPr>
          <w:rFonts w:ascii="Arial" w:hAnsi="Arial" w:cs="Arial"/>
          <w:sz w:val="20"/>
          <w:szCs w:val="20"/>
        </w:rPr>
        <w:t>4.34</w:t>
      </w:r>
      <w:r w:rsidR="003C790D">
        <w:rPr>
          <w:rFonts w:ascii="Arial" w:hAnsi="Arial" w:cs="Arial"/>
          <w:sz w:val="20"/>
          <w:szCs w:val="20"/>
        </w:rPr>
        <w:t>.</w:t>
      </w:r>
      <w:r w:rsidRPr="003830CA">
        <w:rPr>
          <w:rFonts w:ascii="Arial" w:hAnsi="Arial" w:cs="Arial"/>
          <w:sz w:val="20"/>
          <w:szCs w:val="20"/>
        </w:rPr>
        <w:t xml:space="preserve"> This reflects an increase of </w:t>
      </w:r>
      <w:r w:rsidR="005546EA">
        <w:rPr>
          <w:rFonts w:ascii="Arial" w:hAnsi="Arial" w:cs="Arial"/>
          <w:sz w:val="20"/>
          <w:szCs w:val="20"/>
        </w:rPr>
        <w:t>2.6</w:t>
      </w:r>
      <w:r w:rsidRPr="003830CA">
        <w:rPr>
          <w:rFonts w:ascii="Arial" w:hAnsi="Arial" w:cs="Arial"/>
          <w:sz w:val="20"/>
          <w:szCs w:val="20"/>
        </w:rPr>
        <w:t xml:space="preserve">% over </w:t>
      </w:r>
      <w:r w:rsidR="000A2703">
        <w:rPr>
          <w:rFonts w:ascii="Arial" w:hAnsi="Arial" w:cs="Arial"/>
          <w:sz w:val="20"/>
          <w:szCs w:val="20"/>
        </w:rPr>
        <w:t>June</w:t>
      </w:r>
      <w:r>
        <w:rPr>
          <w:rFonts w:ascii="Arial" w:hAnsi="Arial" w:cs="Arial"/>
          <w:sz w:val="20"/>
          <w:szCs w:val="20"/>
        </w:rPr>
        <w:t xml:space="preserve"> </w:t>
      </w:r>
      <w:r w:rsidRPr="003830CA">
        <w:rPr>
          <w:rFonts w:ascii="Arial" w:hAnsi="Arial" w:cs="Arial"/>
          <w:sz w:val="20"/>
          <w:szCs w:val="20"/>
        </w:rPr>
        <w:t xml:space="preserve">2024. </w:t>
      </w:r>
    </w:p>
    <w:p w14:paraId="36E75066" w14:textId="77777777" w:rsidR="003E1369" w:rsidRDefault="00156CC6" w:rsidP="003E1369">
      <w:pPr>
        <w:pStyle w:val="NoSpacing"/>
        <w:numPr>
          <w:ilvl w:val="0"/>
          <w:numId w:val="32"/>
        </w:numPr>
        <w:rPr>
          <w:rFonts w:ascii="Arial" w:hAnsi="Arial" w:cs="Arial"/>
          <w:sz w:val="20"/>
          <w:szCs w:val="20"/>
        </w:rPr>
      </w:pPr>
      <w:r w:rsidRPr="003830CA">
        <w:rPr>
          <w:rFonts w:ascii="Arial" w:hAnsi="Arial" w:cs="Arial"/>
          <w:sz w:val="20"/>
          <w:szCs w:val="20"/>
        </w:rPr>
        <w:t>C</w:t>
      </w:r>
      <w:r w:rsidR="00D07BDF">
        <w:rPr>
          <w:rFonts w:ascii="Arial" w:hAnsi="Arial" w:cs="Arial"/>
          <w:sz w:val="20"/>
          <w:szCs w:val="20"/>
        </w:rPr>
        <w:t>enter-store prices averaged $</w:t>
      </w:r>
      <w:r w:rsidR="005546EA">
        <w:rPr>
          <w:rFonts w:ascii="Arial" w:hAnsi="Arial" w:cs="Arial"/>
          <w:sz w:val="20"/>
          <w:szCs w:val="20"/>
        </w:rPr>
        <w:t>4.09</w:t>
      </w:r>
      <w:r w:rsidRPr="003830CA">
        <w:rPr>
          <w:rFonts w:ascii="Arial" w:hAnsi="Arial" w:cs="Arial"/>
          <w:sz w:val="20"/>
          <w:szCs w:val="20"/>
        </w:rPr>
        <w:t xml:space="preserve">, an increase of </w:t>
      </w:r>
      <w:r w:rsidR="005546EA">
        <w:rPr>
          <w:rFonts w:ascii="Arial" w:hAnsi="Arial" w:cs="Arial"/>
          <w:sz w:val="20"/>
          <w:szCs w:val="20"/>
        </w:rPr>
        <w:t>2.5</w:t>
      </w:r>
      <w:r w:rsidRPr="003830CA">
        <w:rPr>
          <w:rFonts w:ascii="Arial" w:hAnsi="Arial" w:cs="Arial"/>
          <w:sz w:val="20"/>
          <w:szCs w:val="20"/>
        </w:rPr>
        <w:t xml:space="preserve">% over </w:t>
      </w:r>
      <w:r w:rsidR="000A2703">
        <w:rPr>
          <w:rFonts w:ascii="Arial" w:hAnsi="Arial" w:cs="Arial"/>
          <w:sz w:val="20"/>
          <w:szCs w:val="20"/>
        </w:rPr>
        <w:t>June</w:t>
      </w:r>
      <w:r>
        <w:rPr>
          <w:rFonts w:ascii="Arial" w:hAnsi="Arial" w:cs="Arial"/>
          <w:sz w:val="20"/>
          <w:szCs w:val="20"/>
        </w:rPr>
        <w:t xml:space="preserve"> </w:t>
      </w:r>
      <w:r w:rsidRPr="003830CA">
        <w:rPr>
          <w:rFonts w:ascii="Arial" w:hAnsi="Arial" w:cs="Arial"/>
          <w:sz w:val="20"/>
          <w:szCs w:val="20"/>
        </w:rPr>
        <w:t xml:space="preserve">2024. </w:t>
      </w:r>
    </w:p>
    <w:p w14:paraId="4FF54F97" w14:textId="07CBF79F" w:rsidR="00156CC6" w:rsidRDefault="00156CC6" w:rsidP="003E1369">
      <w:pPr>
        <w:pStyle w:val="NoSpacing"/>
        <w:numPr>
          <w:ilvl w:val="0"/>
          <w:numId w:val="32"/>
        </w:numPr>
        <w:rPr>
          <w:rFonts w:ascii="Arial" w:hAnsi="Arial" w:cs="Arial"/>
          <w:sz w:val="20"/>
          <w:szCs w:val="20"/>
        </w:rPr>
      </w:pPr>
      <w:r w:rsidRPr="003830CA">
        <w:rPr>
          <w:rFonts w:ascii="Arial" w:hAnsi="Arial" w:cs="Arial"/>
          <w:sz w:val="20"/>
          <w:szCs w:val="20"/>
        </w:rPr>
        <w:t>Fresh food prices averaged $</w:t>
      </w:r>
      <w:r w:rsidR="005546EA">
        <w:rPr>
          <w:rFonts w:ascii="Arial" w:hAnsi="Arial" w:cs="Arial"/>
          <w:sz w:val="20"/>
          <w:szCs w:val="20"/>
        </w:rPr>
        <w:t>4.27</w:t>
      </w:r>
      <w:r w:rsidRPr="003830CA">
        <w:rPr>
          <w:rFonts w:ascii="Arial" w:hAnsi="Arial" w:cs="Arial"/>
          <w:sz w:val="20"/>
          <w:szCs w:val="20"/>
        </w:rPr>
        <w:t xml:space="preserve">, which was an increase of </w:t>
      </w:r>
      <w:r w:rsidR="005546EA">
        <w:rPr>
          <w:rFonts w:ascii="Arial" w:hAnsi="Arial" w:cs="Arial"/>
          <w:sz w:val="20"/>
          <w:szCs w:val="20"/>
        </w:rPr>
        <w:t>3.4</w:t>
      </w:r>
      <w:r w:rsidRPr="003830CA">
        <w:rPr>
          <w:rFonts w:ascii="Arial" w:hAnsi="Arial" w:cs="Arial"/>
          <w:sz w:val="20"/>
          <w:szCs w:val="20"/>
        </w:rPr>
        <w:t>%</w:t>
      </w:r>
      <w:r>
        <w:rPr>
          <w:rFonts w:ascii="Arial" w:hAnsi="Arial" w:cs="Arial"/>
          <w:sz w:val="20"/>
          <w:szCs w:val="20"/>
        </w:rPr>
        <w:t xml:space="preserve"> year-over-year</w:t>
      </w:r>
      <w:r w:rsidRPr="003830CA">
        <w:rPr>
          <w:rFonts w:ascii="Arial" w:hAnsi="Arial" w:cs="Arial"/>
          <w:sz w:val="20"/>
          <w:szCs w:val="20"/>
        </w:rPr>
        <w:t xml:space="preserve">. Eggs continued to have a substantial impact on the overall fresh perimeter and total store price points. </w:t>
      </w:r>
      <w:r w:rsidRPr="00E766BA">
        <w:rPr>
          <w:rFonts w:ascii="Arial" w:hAnsi="Arial" w:cs="Arial"/>
          <w:sz w:val="20"/>
          <w:szCs w:val="20"/>
        </w:rPr>
        <w:t>On a per unit basis, eggs averaged $</w:t>
      </w:r>
      <w:r w:rsidR="005546EA">
        <w:rPr>
          <w:rFonts w:ascii="Arial" w:hAnsi="Arial" w:cs="Arial"/>
          <w:sz w:val="20"/>
          <w:szCs w:val="20"/>
        </w:rPr>
        <w:t>5.54</w:t>
      </w:r>
      <w:r w:rsidRPr="00E766BA">
        <w:rPr>
          <w:rFonts w:ascii="Arial" w:hAnsi="Arial" w:cs="Arial"/>
          <w:sz w:val="20"/>
          <w:szCs w:val="20"/>
        </w:rPr>
        <w:t xml:space="preserve">, </w:t>
      </w:r>
      <w:r w:rsidR="00D07BDF">
        <w:rPr>
          <w:rFonts w:ascii="Arial" w:hAnsi="Arial" w:cs="Arial"/>
          <w:sz w:val="20"/>
          <w:szCs w:val="20"/>
        </w:rPr>
        <w:t>which was down from $</w:t>
      </w:r>
      <w:r w:rsidR="005546EA">
        <w:rPr>
          <w:rFonts w:ascii="Arial" w:hAnsi="Arial" w:cs="Arial"/>
          <w:sz w:val="20"/>
          <w:szCs w:val="20"/>
        </w:rPr>
        <w:t>6.33</w:t>
      </w:r>
      <w:r>
        <w:rPr>
          <w:rFonts w:ascii="Arial" w:hAnsi="Arial" w:cs="Arial"/>
          <w:sz w:val="20"/>
          <w:szCs w:val="20"/>
        </w:rPr>
        <w:t xml:space="preserve"> in </w:t>
      </w:r>
      <w:r w:rsidR="008C536A">
        <w:rPr>
          <w:rFonts w:ascii="Arial" w:hAnsi="Arial" w:cs="Arial"/>
          <w:sz w:val="20"/>
          <w:szCs w:val="20"/>
        </w:rPr>
        <w:t>May</w:t>
      </w:r>
      <w:r>
        <w:rPr>
          <w:rFonts w:ascii="Arial" w:hAnsi="Arial" w:cs="Arial"/>
          <w:sz w:val="20"/>
          <w:szCs w:val="20"/>
        </w:rPr>
        <w:t xml:space="preserve">, but </w:t>
      </w:r>
      <w:r w:rsidRPr="00E766BA">
        <w:rPr>
          <w:rFonts w:ascii="Arial" w:hAnsi="Arial" w:cs="Arial"/>
          <w:sz w:val="20"/>
          <w:szCs w:val="20"/>
        </w:rPr>
        <w:t xml:space="preserve">reflects an increase of </w:t>
      </w:r>
      <w:r w:rsidR="005546EA">
        <w:rPr>
          <w:rFonts w:ascii="Arial" w:hAnsi="Arial" w:cs="Arial"/>
          <w:sz w:val="20"/>
          <w:szCs w:val="20"/>
        </w:rPr>
        <w:t>29.5</w:t>
      </w:r>
      <w:r w:rsidRPr="00E766BA">
        <w:rPr>
          <w:rFonts w:ascii="Arial" w:hAnsi="Arial" w:cs="Arial"/>
          <w:sz w:val="20"/>
          <w:szCs w:val="20"/>
        </w:rPr>
        <w:t xml:space="preserve">% </w:t>
      </w:r>
      <w:r>
        <w:rPr>
          <w:rFonts w:ascii="Arial" w:hAnsi="Arial" w:cs="Arial"/>
          <w:sz w:val="20"/>
          <w:szCs w:val="20"/>
        </w:rPr>
        <w:t xml:space="preserve">versus </w:t>
      </w:r>
      <w:r w:rsidR="000A2703">
        <w:rPr>
          <w:rFonts w:ascii="Arial" w:hAnsi="Arial" w:cs="Arial"/>
          <w:sz w:val="20"/>
          <w:szCs w:val="20"/>
        </w:rPr>
        <w:t>June</w:t>
      </w:r>
      <w:r>
        <w:rPr>
          <w:rFonts w:ascii="Arial" w:hAnsi="Arial" w:cs="Arial"/>
          <w:sz w:val="20"/>
          <w:szCs w:val="20"/>
        </w:rPr>
        <w:t xml:space="preserve"> </w:t>
      </w:r>
      <w:r w:rsidRPr="00E766BA">
        <w:rPr>
          <w:rFonts w:ascii="Arial" w:hAnsi="Arial" w:cs="Arial"/>
          <w:sz w:val="20"/>
          <w:szCs w:val="20"/>
        </w:rPr>
        <w:t xml:space="preserve">2024. </w:t>
      </w:r>
    </w:p>
    <w:p w14:paraId="09CFEF29" w14:textId="77777777" w:rsidR="008C536A" w:rsidRDefault="008C536A" w:rsidP="00156CC6">
      <w:pPr>
        <w:pStyle w:val="NoSpacing"/>
        <w:rPr>
          <w:rFonts w:ascii="Arial" w:hAnsi="Arial" w:cs="Arial"/>
          <w:sz w:val="20"/>
          <w:szCs w:val="20"/>
        </w:rPr>
      </w:pPr>
    </w:p>
    <w:tbl>
      <w:tblPr>
        <w:tblStyle w:val="GridTable4"/>
        <w:tblW w:w="1063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3"/>
        <w:gridCol w:w="775"/>
        <w:gridCol w:w="818"/>
        <w:gridCol w:w="775"/>
        <w:gridCol w:w="898"/>
        <w:gridCol w:w="776"/>
        <w:gridCol w:w="776"/>
        <w:gridCol w:w="776"/>
        <w:gridCol w:w="776"/>
        <w:gridCol w:w="776"/>
        <w:gridCol w:w="776"/>
        <w:gridCol w:w="732"/>
        <w:gridCol w:w="789"/>
      </w:tblGrid>
      <w:tr w:rsidR="005546EA" w:rsidRPr="00545B05" w14:paraId="7B79CD89" w14:textId="77777777" w:rsidTr="008C536A">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05" w:type="dxa"/>
            <w:shd w:val="clear" w:color="auto" w:fill="244061" w:themeFill="accent1" w:themeFillShade="80"/>
            <w:hideMark/>
          </w:tcPr>
          <w:p w14:paraId="4FD439C9" w14:textId="77777777" w:rsidR="008C536A" w:rsidRPr="002E7AF4" w:rsidRDefault="008C536A" w:rsidP="008C536A">
            <w:pPr>
              <w:pStyle w:val="NoSpacing"/>
              <w:rPr>
                <w:rFonts w:ascii="Arial" w:hAnsi="Arial" w:cs="Arial"/>
                <w:sz w:val="18"/>
              </w:rPr>
            </w:pPr>
            <w:r w:rsidRPr="002E7AF4">
              <w:rPr>
                <w:rFonts w:ascii="Arial" w:hAnsi="Arial" w:cs="Arial"/>
                <w:sz w:val="18"/>
              </w:rPr>
              <w:t>Food &amp; beverages</w:t>
            </w:r>
          </w:p>
        </w:tc>
        <w:tc>
          <w:tcPr>
            <w:tcW w:w="781" w:type="dxa"/>
            <w:shd w:val="clear" w:color="auto" w:fill="244061" w:themeFill="accent1" w:themeFillShade="80"/>
            <w:vAlign w:val="center"/>
            <w:hideMark/>
          </w:tcPr>
          <w:p w14:paraId="1BB9AC96" w14:textId="77777777" w:rsidR="008C536A" w:rsidRPr="002E7AF4" w:rsidRDefault="008C536A"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2019</w:t>
            </w:r>
          </w:p>
        </w:tc>
        <w:tc>
          <w:tcPr>
            <w:tcW w:w="830" w:type="dxa"/>
            <w:shd w:val="clear" w:color="auto" w:fill="244061" w:themeFill="accent1" w:themeFillShade="80"/>
            <w:vAlign w:val="center"/>
            <w:hideMark/>
          </w:tcPr>
          <w:p w14:paraId="3D1EC4CB" w14:textId="77777777" w:rsidR="008C536A" w:rsidRPr="002E7AF4" w:rsidRDefault="008C536A"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2020</w:t>
            </w:r>
          </w:p>
        </w:tc>
        <w:tc>
          <w:tcPr>
            <w:tcW w:w="781" w:type="dxa"/>
            <w:shd w:val="clear" w:color="auto" w:fill="244061" w:themeFill="accent1" w:themeFillShade="80"/>
            <w:vAlign w:val="center"/>
            <w:hideMark/>
          </w:tcPr>
          <w:p w14:paraId="60707277" w14:textId="77777777" w:rsidR="008C536A" w:rsidRPr="002E7AF4" w:rsidRDefault="008C536A"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2021</w:t>
            </w:r>
          </w:p>
        </w:tc>
        <w:tc>
          <w:tcPr>
            <w:tcW w:w="906" w:type="dxa"/>
            <w:shd w:val="clear" w:color="auto" w:fill="244061" w:themeFill="accent1" w:themeFillShade="80"/>
            <w:vAlign w:val="center"/>
            <w:hideMark/>
          </w:tcPr>
          <w:p w14:paraId="54E42D73" w14:textId="77777777" w:rsidR="008C536A" w:rsidRPr="002E7AF4" w:rsidRDefault="008C536A"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2022</w:t>
            </w:r>
          </w:p>
        </w:tc>
        <w:tc>
          <w:tcPr>
            <w:tcW w:w="781" w:type="dxa"/>
            <w:shd w:val="clear" w:color="auto" w:fill="244061" w:themeFill="accent1" w:themeFillShade="80"/>
            <w:vAlign w:val="center"/>
            <w:hideMark/>
          </w:tcPr>
          <w:p w14:paraId="50B07609" w14:textId="77777777" w:rsidR="008C536A" w:rsidRPr="002E7AF4" w:rsidRDefault="008C536A"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2023</w:t>
            </w:r>
          </w:p>
        </w:tc>
        <w:tc>
          <w:tcPr>
            <w:tcW w:w="781" w:type="dxa"/>
            <w:shd w:val="clear" w:color="auto" w:fill="244061" w:themeFill="accent1" w:themeFillShade="80"/>
            <w:vAlign w:val="center"/>
          </w:tcPr>
          <w:p w14:paraId="1CAD0845" w14:textId="77777777" w:rsidR="008C536A" w:rsidRPr="002E7AF4" w:rsidRDefault="008C536A"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2024</w:t>
            </w:r>
          </w:p>
        </w:tc>
        <w:tc>
          <w:tcPr>
            <w:tcW w:w="781" w:type="dxa"/>
            <w:shd w:val="clear" w:color="auto" w:fill="244061" w:themeFill="accent1" w:themeFillShade="80"/>
            <w:vAlign w:val="center"/>
          </w:tcPr>
          <w:p w14:paraId="3523001B" w14:textId="77777777" w:rsidR="008C536A" w:rsidRPr="002E7AF4" w:rsidRDefault="008C536A"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Q2 2024</w:t>
            </w:r>
          </w:p>
        </w:tc>
        <w:tc>
          <w:tcPr>
            <w:tcW w:w="781" w:type="dxa"/>
            <w:shd w:val="clear" w:color="auto" w:fill="244061" w:themeFill="accent1" w:themeFillShade="80"/>
            <w:vAlign w:val="center"/>
          </w:tcPr>
          <w:p w14:paraId="1AC7D8C3" w14:textId="77777777" w:rsidR="008C536A" w:rsidRPr="002E7AF4" w:rsidRDefault="008C536A"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Q3 2024</w:t>
            </w:r>
          </w:p>
        </w:tc>
        <w:tc>
          <w:tcPr>
            <w:tcW w:w="781" w:type="dxa"/>
            <w:shd w:val="clear" w:color="auto" w:fill="244061" w:themeFill="accent1" w:themeFillShade="80"/>
            <w:vAlign w:val="center"/>
          </w:tcPr>
          <w:p w14:paraId="7FD37938" w14:textId="77777777" w:rsidR="008C536A" w:rsidRPr="002E7AF4" w:rsidRDefault="008C536A"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Q4 2024</w:t>
            </w:r>
          </w:p>
        </w:tc>
        <w:tc>
          <w:tcPr>
            <w:tcW w:w="781" w:type="dxa"/>
            <w:shd w:val="clear" w:color="auto" w:fill="244061" w:themeFill="accent1" w:themeFillShade="80"/>
            <w:vAlign w:val="center"/>
            <w:hideMark/>
          </w:tcPr>
          <w:p w14:paraId="6EDE4503" w14:textId="77777777" w:rsidR="008C536A" w:rsidRPr="002E7AF4" w:rsidRDefault="008C536A"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w:t>
            </w:r>
            <w:r>
              <w:rPr>
                <w:rFonts w:ascii="Arial" w:hAnsi="Arial" w:cs="Arial"/>
                <w:sz w:val="18"/>
              </w:rPr>
              <w:t>1</w:t>
            </w:r>
            <w:r>
              <w:rPr>
                <w:rFonts w:ascii="Arial" w:hAnsi="Arial" w:cs="Arial"/>
                <w:sz w:val="18"/>
              </w:rPr>
              <w:br/>
            </w:r>
            <w:r w:rsidRPr="002E7AF4">
              <w:rPr>
                <w:rFonts w:ascii="Arial" w:hAnsi="Arial" w:cs="Arial"/>
                <w:sz w:val="18"/>
              </w:rPr>
              <w:t>202</w:t>
            </w:r>
            <w:r>
              <w:rPr>
                <w:rFonts w:ascii="Arial" w:hAnsi="Arial" w:cs="Arial"/>
                <w:sz w:val="18"/>
              </w:rPr>
              <w:t>5</w:t>
            </w:r>
          </w:p>
        </w:tc>
        <w:tc>
          <w:tcPr>
            <w:tcW w:w="651" w:type="dxa"/>
            <w:shd w:val="clear" w:color="auto" w:fill="244061" w:themeFill="accent1" w:themeFillShade="80"/>
          </w:tcPr>
          <w:p w14:paraId="600A850A" w14:textId="77777777" w:rsidR="008C536A" w:rsidRDefault="008C536A"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Q2 2025</w:t>
            </w:r>
          </w:p>
        </w:tc>
        <w:tc>
          <w:tcPr>
            <w:tcW w:w="796" w:type="dxa"/>
            <w:shd w:val="clear" w:color="auto" w:fill="244061" w:themeFill="accent1" w:themeFillShade="80"/>
            <w:vAlign w:val="center"/>
            <w:hideMark/>
          </w:tcPr>
          <w:p w14:paraId="0E9EC1B4" w14:textId="77777777" w:rsidR="008C536A" w:rsidRPr="002E7AF4" w:rsidRDefault="008C536A" w:rsidP="008C536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June</w:t>
            </w:r>
            <w:r w:rsidRPr="002E7AF4">
              <w:rPr>
                <w:rFonts w:ascii="Arial" w:hAnsi="Arial" w:cs="Arial"/>
                <w:sz w:val="18"/>
              </w:rPr>
              <w:br/>
              <w:t>202</w:t>
            </w:r>
            <w:r>
              <w:rPr>
                <w:rFonts w:ascii="Arial" w:hAnsi="Arial" w:cs="Arial"/>
                <w:sz w:val="18"/>
              </w:rPr>
              <w:t>5</w:t>
            </w:r>
          </w:p>
        </w:tc>
      </w:tr>
      <w:tr w:rsidR="008C536A" w:rsidRPr="00545B05" w14:paraId="1FD9387C" w14:textId="77777777" w:rsidTr="008C536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205" w:type="dxa"/>
          </w:tcPr>
          <w:p w14:paraId="0ACEF4FD" w14:textId="77777777" w:rsidR="008C536A" w:rsidRPr="008C536A" w:rsidRDefault="008C536A" w:rsidP="008C536A">
            <w:pPr>
              <w:pStyle w:val="NoSpacing"/>
              <w:rPr>
                <w:rFonts w:ascii="Arial" w:hAnsi="Arial" w:cs="Arial"/>
                <w:bCs w:val="0"/>
                <w:sz w:val="18"/>
              </w:rPr>
            </w:pPr>
            <w:r w:rsidRPr="008C536A">
              <w:rPr>
                <w:rFonts w:ascii="Arial" w:hAnsi="Arial" w:cs="Arial"/>
                <w:bCs w:val="0"/>
                <w:sz w:val="18"/>
              </w:rPr>
              <w:t>PPU</w:t>
            </w:r>
          </w:p>
        </w:tc>
        <w:tc>
          <w:tcPr>
            <w:tcW w:w="781" w:type="dxa"/>
            <w:vAlign w:val="center"/>
          </w:tcPr>
          <w:p w14:paraId="409936E5" w14:textId="77777777" w:rsidR="008C536A" w:rsidRPr="002E7AF4" w:rsidRDefault="008C536A" w:rsidP="008C536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$3.13</w:t>
            </w:r>
          </w:p>
        </w:tc>
        <w:tc>
          <w:tcPr>
            <w:tcW w:w="830" w:type="dxa"/>
            <w:vAlign w:val="center"/>
          </w:tcPr>
          <w:p w14:paraId="50DBD6BE" w14:textId="77777777" w:rsidR="008C536A" w:rsidRPr="002E7AF4" w:rsidRDefault="008C536A" w:rsidP="008C536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$3.31</w:t>
            </w:r>
          </w:p>
        </w:tc>
        <w:tc>
          <w:tcPr>
            <w:tcW w:w="781" w:type="dxa"/>
            <w:vAlign w:val="center"/>
          </w:tcPr>
          <w:p w14:paraId="1CCA11EA" w14:textId="77777777" w:rsidR="008C536A" w:rsidRPr="002E7AF4" w:rsidRDefault="008C536A" w:rsidP="008C536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$3.49</w:t>
            </w:r>
          </w:p>
        </w:tc>
        <w:tc>
          <w:tcPr>
            <w:tcW w:w="906" w:type="dxa"/>
            <w:vAlign w:val="center"/>
          </w:tcPr>
          <w:p w14:paraId="0F1DFE26" w14:textId="77777777" w:rsidR="008C536A" w:rsidRPr="002E7AF4" w:rsidRDefault="008C536A" w:rsidP="008C536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$3.93</w:t>
            </w:r>
          </w:p>
        </w:tc>
        <w:tc>
          <w:tcPr>
            <w:tcW w:w="781" w:type="dxa"/>
            <w:vAlign w:val="center"/>
          </w:tcPr>
          <w:p w14:paraId="0CABBDDE" w14:textId="77777777" w:rsidR="008C536A" w:rsidRPr="002E7AF4" w:rsidRDefault="008C536A" w:rsidP="008C536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$4.17</w:t>
            </w:r>
          </w:p>
        </w:tc>
        <w:tc>
          <w:tcPr>
            <w:tcW w:w="781" w:type="dxa"/>
            <w:vAlign w:val="center"/>
          </w:tcPr>
          <w:p w14:paraId="339F9AC2" w14:textId="77777777" w:rsidR="008C536A" w:rsidRPr="002E7AF4" w:rsidRDefault="008C536A" w:rsidP="008C536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781" w:type="dxa"/>
            <w:vAlign w:val="center"/>
          </w:tcPr>
          <w:p w14:paraId="0D00C54B" w14:textId="77777777" w:rsidR="008C536A" w:rsidRPr="002E7AF4" w:rsidRDefault="008C536A" w:rsidP="008C536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781" w:type="dxa"/>
            <w:vAlign w:val="center"/>
          </w:tcPr>
          <w:p w14:paraId="719D864A" w14:textId="77777777" w:rsidR="008C536A" w:rsidRPr="002E7AF4" w:rsidRDefault="008C536A" w:rsidP="008C536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781" w:type="dxa"/>
            <w:vAlign w:val="center"/>
          </w:tcPr>
          <w:p w14:paraId="4335BFFD" w14:textId="77777777" w:rsidR="008C536A" w:rsidRPr="002E7AF4" w:rsidRDefault="008C536A" w:rsidP="008C536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$4.30</w:t>
            </w:r>
          </w:p>
        </w:tc>
        <w:tc>
          <w:tcPr>
            <w:tcW w:w="781" w:type="dxa"/>
            <w:vAlign w:val="center"/>
          </w:tcPr>
          <w:p w14:paraId="0013378A" w14:textId="77777777" w:rsidR="008C536A" w:rsidRPr="002E7AF4" w:rsidRDefault="008C536A" w:rsidP="008C536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w:t>
            </w:r>
            <w:r>
              <w:rPr>
                <w:rFonts w:ascii="Arial" w:hAnsi="Arial" w:cs="Arial"/>
                <w:sz w:val="18"/>
              </w:rPr>
              <w:t>4.30</w:t>
            </w:r>
          </w:p>
        </w:tc>
        <w:tc>
          <w:tcPr>
            <w:tcW w:w="651" w:type="dxa"/>
          </w:tcPr>
          <w:p w14:paraId="7C464873" w14:textId="4973C026" w:rsidR="008C536A" w:rsidRPr="002E7AF4" w:rsidRDefault="008C536A" w:rsidP="008C536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w:t>
            </w:r>
            <w:r w:rsidR="005546EA">
              <w:rPr>
                <w:rFonts w:ascii="Arial" w:hAnsi="Arial" w:cs="Arial"/>
                <w:sz w:val="18"/>
              </w:rPr>
              <w:t>4.36</w:t>
            </w:r>
          </w:p>
        </w:tc>
        <w:tc>
          <w:tcPr>
            <w:tcW w:w="796" w:type="dxa"/>
            <w:vAlign w:val="center"/>
          </w:tcPr>
          <w:p w14:paraId="2F566123" w14:textId="0695D06B" w:rsidR="008C536A" w:rsidRPr="002E7AF4" w:rsidRDefault="008C536A" w:rsidP="008C536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w:t>
            </w:r>
            <w:r w:rsidR="005546EA">
              <w:rPr>
                <w:rFonts w:ascii="Arial" w:hAnsi="Arial" w:cs="Arial"/>
                <w:sz w:val="18"/>
              </w:rPr>
              <w:t>4.34</w:t>
            </w:r>
          </w:p>
        </w:tc>
      </w:tr>
      <w:tr w:rsidR="008C536A" w:rsidRPr="00545B05" w14:paraId="1DE02627" w14:textId="77777777" w:rsidTr="008C536A">
        <w:trPr>
          <w:trHeight w:val="252"/>
        </w:trPr>
        <w:tc>
          <w:tcPr>
            <w:cnfStyle w:val="001000000000" w:firstRow="0" w:lastRow="0" w:firstColumn="1" w:lastColumn="0" w:oddVBand="0" w:evenVBand="0" w:oddHBand="0" w:evenHBand="0" w:firstRowFirstColumn="0" w:firstRowLastColumn="0" w:lastRowFirstColumn="0" w:lastRowLastColumn="0"/>
            <w:tcW w:w="1205" w:type="dxa"/>
            <w:hideMark/>
          </w:tcPr>
          <w:p w14:paraId="6B58AC6F" w14:textId="77777777" w:rsidR="008C536A" w:rsidRPr="008C536A" w:rsidRDefault="008C536A" w:rsidP="008C536A">
            <w:pPr>
              <w:pStyle w:val="NoSpacing"/>
              <w:rPr>
                <w:rFonts w:ascii="Arial" w:hAnsi="Arial" w:cs="Arial"/>
                <w:bCs w:val="0"/>
                <w:sz w:val="18"/>
              </w:rPr>
            </w:pPr>
            <w:r w:rsidRPr="008C536A">
              <w:rPr>
                <w:rFonts w:ascii="Arial" w:hAnsi="Arial" w:cs="Arial"/>
                <w:bCs w:val="0"/>
                <w:sz w:val="18"/>
              </w:rPr>
              <w:t xml:space="preserve">Change </w:t>
            </w:r>
          </w:p>
        </w:tc>
        <w:tc>
          <w:tcPr>
            <w:tcW w:w="781" w:type="dxa"/>
            <w:vAlign w:val="center"/>
            <w:hideMark/>
          </w:tcPr>
          <w:p w14:paraId="43DC11CA" w14:textId="77777777" w:rsidR="008C536A" w:rsidRPr="002E7AF4" w:rsidRDefault="008C536A" w:rsidP="008C53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w:t>
            </w:r>
          </w:p>
        </w:tc>
        <w:tc>
          <w:tcPr>
            <w:tcW w:w="830" w:type="dxa"/>
            <w:vAlign w:val="center"/>
            <w:hideMark/>
          </w:tcPr>
          <w:p w14:paraId="6CA348C6" w14:textId="77777777" w:rsidR="008C536A" w:rsidRPr="002E7AF4" w:rsidRDefault="008C536A" w:rsidP="008C53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+5.7%</w:t>
            </w:r>
          </w:p>
        </w:tc>
        <w:tc>
          <w:tcPr>
            <w:tcW w:w="781" w:type="dxa"/>
            <w:vAlign w:val="center"/>
            <w:hideMark/>
          </w:tcPr>
          <w:p w14:paraId="4F2BBE54" w14:textId="77777777" w:rsidR="008C536A" w:rsidRPr="002E7AF4" w:rsidRDefault="008C536A" w:rsidP="008C53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+5.5%</w:t>
            </w:r>
          </w:p>
        </w:tc>
        <w:tc>
          <w:tcPr>
            <w:tcW w:w="906" w:type="dxa"/>
            <w:vAlign w:val="center"/>
            <w:hideMark/>
          </w:tcPr>
          <w:p w14:paraId="5C3173A8" w14:textId="77777777" w:rsidR="008C536A" w:rsidRPr="002E7AF4" w:rsidRDefault="008C536A" w:rsidP="008C53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+12.5%</w:t>
            </w:r>
          </w:p>
        </w:tc>
        <w:tc>
          <w:tcPr>
            <w:tcW w:w="781" w:type="dxa"/>
            <w:vAlign w:val="center"/>
            <w:hideMark/>
          </w:tcPr>
          <w:p w14:paraId="702ED762" w14:textId="77777777" w:rsidR="008C536A" w:rsidRPr="002E7AF4" w:rsidRDefault="008C536A" w:rsidP="008C53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+6.1%</w:t>
            </w:r>
          </w:p>
        </w:tc>
        <w:tc>
          <w:tcPr>
            <w:tcW w:w="781" w:type="dxa"/>
            <w:vAlign w:val="center"/>
          </w:tcPr>
          <w:p w14:paraId="5009C542" w14:textId="77777777" w:rsidR="008C536A" w:rsidRPr="002E7AF4" w:rsidRDefault="008C536A" w:rsidP="008C53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+1.7%</w:t>
            </w:r>
          </w:p>
        </w:tc>
        <w:tc>
          <w:tcPr>
            <w:tcW w:w="781" w:type="dxa"/>
            <w:vAlign w:val="center"/>
          </w:tcPr>
          <w:p w14:paraId="21E15C28" w14:textId="77777777" w:rsidR="008C536A" w:rsidRPr="002E7AF4" w:rsidRDefault="008C536A" w:rsidP="008C53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+1.5%</w:t>
            </w:r>
          </w:p>
        </w:tc>
        <w:tc>
          <w:tcPr>
            <w:tcW w:w="781" w:type="dxa"/>
            <w:vAlign w:val="center"/>
          </w:tcPr>
          <w:p w14:paraId="5D992293" w14:textId="77777777" w:rsidR="008C536A" w:rsidRPr="002E7AF4" w:rsidRDefault="008C536A" w:rsidP="008C53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+1.9%</w:t>
            </w:r>
          </w:p>
        </w:tc>
        <w:tc>
          <w:tcPr>
            <w:tcW w:w="781" w:type="dxa"/>
            <w:vAlign w:val="center"/>
          </w:tcPr>
          <w:p w14:paraId="56D05C82" w14:textId="77777777" w:rsidR="008C536A" w:rsidRPr="002E7AF4" w:rsidRDefault="008C536A" w:rsidP="008C53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w:t>
            </w:r>
            <w:r>
              <w:rPr>
                <w:rFonts w:ascii="Arial" w:hAnsi="Arial" w:cs="Arial"/>
                <w:sz w:val="18"/>
              </w:rPr>
              <w:t>2</w:t>
            </w:r>
            <w:r w:rsidRPr="002E7AF4">
              <w:rPr>
                <w:rFonts w:ascii="Arial" w:hAnsi="Arial" w:cs="Arial"/>
                <w:sz w:val="18"/>
              </w:rPr>
              <w:t>%</w:t>
            </w:r>
          </w:p>
        </w:tc>
        <w:tc>
          <w:tcPr>
            <w:tcW w:w="781" w:type="dxa"/>
            <w:vAlign w:val="center"/>
            <w:hideMark/>
          </w:tcPr>
          <w:p w14:paraId="1279D1C7" w14:textId="77777777" w:rsidR="008C536A" w:rsidRPr="002E7AF4" w:rsidRDefault="008C536A" w:rsidP="008C53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w:t>
            </w:r>
            <w:r>
              <w:rPr>
                <w:rFonts w:ascii="Arial" w:hAnsi="Arial" w:cs="Arial"/>
                <w:sz w:val="18"/>
              </w:rPr>
              <w:t>9</w:t>
            </w:r>
            <w:r w:rsidRPr="002E7AF4">
              <w:rPr>
                <w:rFonts w:ascii="Arial" w:hAnsi="Arial" w:cs="Arial"/>
                <w:sz w:val="18"/>
              </w:rPr>
              <w:t>%</w:t>
            </w:r>
          </w:p>
        </w:tc>
        <w:tc>
          <w:tcPr>
            <w:tcW w:w="651" w:type="dxa"/>
          </w:tcPr>
          <w:p w14:paraId="66717E02" w14:textId="0BA5A90D" w:rsidR="008C536A" w:rsidRPr="002E7AF4" w:rsidRDefault="008C536A" w:rsidP="008C53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w:t>
            </w:r>
            <w:r w:rsidR="005546EA">
              <w:rPr>
                <w:rFonts w:ascii="Arial" w:hAnsi="Arial" w:cs="Arial"/>
                <w:sz w:val="18"/>
              </w:rPr>
              <w:t>2.7</w:t>
            </w:r>
            <w:r>
              <w:rPr>
                <w:rFonts w:ascii="Arial" w:hAnsi="Arial" w:cs="Arial"/>
                <w:sz w:val="18"/>
              </w:rPr>
              <w:t>%</w:t>
            </w:r>
          </w:p>
        </w:tc>
        <w:tc>
          <w:tcPr>
            <w:tcW w:w="796" w:type="dxa"/>
            <w:vAlign w:val="center"/>
            <w:hideMark/>
          </w:tcPr>
          <w:p w14:paraId="2AFBEDD7" w14:textId="7120BA97" w:rsidR="008C536A" w:rsidRPr="002E7AF4" w:rsidRDefault="008C536A" w:rsidP="008C53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w:t>
            </w:r>
            <w:r w:rsidR="005546EA">
              <w:rPr>
                <w:rFonts w:ascii="Arial" w:hAnsi="Arial" w:cs="Arial"/>
                <w:sz w:val="18"/>
              </w:rPr>
              <w:t>2.6</w:t>
            </w:r>
            <w:r w:rsidRPr="002E7AF4">
              <w:rPr>
                <w:rFonts w:ascii="Arial" w:hAnsi="Arial" w:cs="Arial"/>
                <w:sz w:val="18"/>
              </w:rPr>
              <w:t>%</w:t>
            </w:r>
          </w:p>
        </w:tc>
      </w:tr>
    </w:tbl>
    <w:bookmarkEnd w:id="7"/>
    <w:p w14:paraId="3B18FCD2" w14:textId="77777777" w:rsidR="00156CC6" w:rsidRPr="00B7673F" w:rsidRDefault="00156CC6" w:rsidP="00156CC6">
      <w:pPr>
        <w:pStyle w:val="NoSpacing"/>
        <w:rPr>
          <w:rFonts w:ascii="Arial" w:hAnsi="Arial" w:cs="Arial"/>
          <w:color w:val="7F7F7F" w:themeColor="text1" w:themeTint="80"/>
          <w:sz w:val="16"/>
          <w:szCs w:val="16"/>
        </w:rPr>
      </w:pPr>
      <w:r w:rsidRPr="00B7673F">
        <w:rPr>
          <w:rFonts w:ascii="Arial" w:hAnsi="Arial" w:cs="Arial"/>
          <w:color w:val="7F7F7F" w:themeColor="text1" w:themeTint="80"/>
          <w:sz w:val="16"/>
          <w:szCs w:val="16"/>
        </w:rPr>
        <w:t xml:space="preserve">Source: </w:t>
      </w:r>
      <w:proofErr w:type="spellStart"/>
      <w:r w:rsidRPr="00B7673F">
        <w:rPr>
          <w:rFonts w:ascii="Arial" w:hAnsi="Arial" w:cs="Arial"/>
          <w:color w:val="7F7F7F" w:themeColor="text1" w:themeTint="80"/>
          <w:sz w:val="16"/>
          <w:szCs w:val="16"/>
        </w:rPr>
        <w:t>Circana</w:t>
      </w:r>
      <w:proofErr w:type="spellEnd"/>
      <w:r w:rsidRPr="00B7673F">
        <w:rPr>
          <w:rFonts w:ascii="Arial" w:hAnsi="Arial" w:cs="Arial"/>
          <w:color w:val="7F7F7F" w:themeColor="text1" w:themeTint="80"/>
          <w:sz w:val="16"/>
          <w:szCs w:val="16"/>
        </w:rPr>
        <w:t>, Integrated Fresh, Total U.S., MULO+</w:t>
      </w:r>
    </w:p>
    <w:p w14:paraId="45DFF59B" w14:textId="2A379D1F" w:rsidR="00A13AC1" w:rsidRDefault="00A13AC1" w:rsidP="00A54264">
      <w:pPr>
        <w:spacing w:after="0" w:line="240" w:lineRule="auto"/>
        <w:rPr>
          <w:rFonts w:ascii="Arial" w:hAnsi="Arial" w:cs="Arial"/>
          <w:color w:val="000000" w:themeColor="text1"/>
          <w:sz w:val="20"/>
          <w:szCs w:val="20"/>
        </w:rPr>
      </w:pPr>
    </w:p>
    <w:p w14:paraId="24F9F5EA" w14:textId="738F2DC1" w:rsidR="003C0E12" w:rsidRDefault="003E1369" w:rsidP="00A54264">
      <w:pPr>
        <w:spacing w:after="0" w:line="240" w:lineRule="auto"/>
        <w:rPr>
          <w:rFonts w:ascii="Arial" w:hAnsi="Arial" w:cs="Arial"/>
          <w:color w:val="000000" w:themeColor="text1"/>
          <w:sz w:val="20"/>
          <w:szCs w:val="20"/>
        </w:rPr>
      </w:pPr>
      <w:r>
        <w:rPr>
          <w:rFonts w:ascii="Arial" w:hAnsi="Arial" w:cs="Arial"/>
          <w:color w:val="000000" w:themeColor="text1"/>
          <w:sz w:val="20"/>
          <w:szCs w:val="20"/>
        </w:rPr>
        <w:t>Inflation across a number of proteins led to an overall increase of 4.0% for meat and poultry prices in June</w:t>
      </w:r>
      <w:r w:rsidR="00573CCE">
        <w:rPr>
          <w:rFonts w:ascii="Arial" w:hAnsi="Arial" w:cs="Arial"/>
          <w:color w:val="000000" w:themeColor="text1"/>
          <w:sz w:val="20"/>
          <w:szCs w:val="20"/>
        </w:rPr>
        <w:t>.</w:t>
      </w:r>
      <w:r>
        <w:rPr>
          <w:rFonts w:ascii="Arial" w:hAnsi="Arial" w:cs="Arial"/>
          <w:color w:val="000000" w:themeColor="text1"/>
          <w:sz w:val="20"/>
          <w:szCs w:val="20"/>
        </w:rPr>
        <w:t xml:space="preserve"> Fresh meat prices increased far more than processed meat and poultry prices. </w:t>
      </w:r>
      <w:r w:rsidR="009B42ED">
        <w:rPr>
          <w:rFonts w:ascii="Arial" w:hAnsi="Arial" w:cs="Arial"/>
          <w:color w:val="000000" w:themeColor="text1"/>
          <w:sz w:val="20"/>
          <w:szCs w:val="20"/>
        </w:rPr>
        <w:t>Despite inflation, consumers have purchased far more meat and poultry. Today’s meat department volume level is only surpassed by the 2020 pandemic year volume.</w:t>
      </w:r>
      <w:r w:rsidR="00573CCE">
        <w:rPr>
          <w:rFonts w:ascii="Arial" w:hAnsi="Arial" w:cs="Arial"/>
          <w:color w:val="000000" w:themeColor="text1"/>
          <w:sz w:val="20"/>
          <w:szCs w:val="20"/>
        </w:rPr>
        <w:t xml:space="preserve">  </w:t>
      </w:r>
    </w:p>
    <w:p w14:paraId="7A6572E9" w14:textId="77777777" w:rsidR="00D058C0" w:rsidRPr="00620B53" w:rsidRDefault="00D058C0" w:rsidP="00A54264">
      <w:pPr>
        <w:spacing w:after="0" w:line="240" w:lineRule="auto"/>
        <w:rPr>
          <w:rFonts w:ascii="Arial" w:hAnsi="Arial" w:cs="Arial"/>
          <w:color w:val="000000" w:themeColor="text1"/>
          <w:sz w:val="14"/>
          <w:szCs w:val="14"/>
        </w:rPr>
      </w:pPr>
    </w:p>
    <w:tbl>
      <w:tblPr>
        <w:tblStyle w:val="LightShading-Accent5"/>
        <w:tblW w:w="10260" w:type="dxa"/>
        <w:tblBorders>
          <w:top w:val="none" w:sz="0" w:space="0" w:color="auto"/>
          <w:bottom w:val="none" w:sz="0" w:space="0" w:color="auto"/>
        </w:tblBorders>
        <w:tblLook w:val="04A0" w:firstRow="1" w:lastRow="0" w:firstColumn="1" w:lastColumn="0" w:noHBand="0" w:noVBand="1"/>
      </w:tblPr>
      <w:tblGrid>
        <w:gridCol w:w="4500"/>
        <w:gridCol w:w="1568"/>
        <w:gridCol w:w="1916"/>
        <w:gridCol w:w="2276"/>
      </w:tblGrid>
      <w:tr w:rsidR="003C65CF" w:rsidRPr="002A71C0" w14:paraId="6D441614" w14:textId="77777777" w:rsidTr="00E35E79">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500" w:type="dxa"/>
            <w:tcBorders>
              <w:top w:val="none" w:sz="0" w:space="0" w:color="auto"/>
              <w:bottom w:val="none" w:sz="0" w:space="0" w:color="auto"/>
            </w:tcBorders>
            <w:shd w:val="clear" w:color="auto" w:fill="17365D" w:themeFill="text2" w:themeFillShade="BF"/>
            <w:vAlign w:val="center"/>
          </w:tcPr>
          <w:p w14:paraId="33455567" w14:textId="32B06D2A" w:rsidR="003C65CF" w:rsidRPr="006879B2" w:rsidRDefault="000B35DB" w:rsidP="00481A57">
            <w:pPr>
              <w:pStyle w:val="NoSpacing"/>
              <w:rPr>
                <w:rFonts w:ascii="Arial" w:hAnsi="Arial" w:cs="Arial"/>
                <w:color w:val="FFFFFF" w:themeColor="background1"/>
                <w:sz w:val="18"/>
                <w:szCs w:val="18"/>
              </w:rPr>
            </w:pPr>
            <w:r>
              <w:rPr>
                <w:rFonts w:ascii="Arial" w:hAnsi="Arial" w:cs="Arial"/>
                <w:color w:val="FFFFFF" w:themeColor="background1"/>
                <w:sz w:val="18"/>
                <w:szCs w:val="18"/>
              </w:rPr>
              <w:t>Price inflation (price/</w:t>
            </w:r>
            <w:r w:rsidR="003B1161" w:rsidRPr="00E96E7F">
              <w:rPr>
                <w:rFonts w:ascii="Arial" w:hAnsi="Arial" w:cs="Arial"/>
                <w:color w:val="FFFFFF" w:themeColor="background1"/>
                <w:sz w:val="18"/>
                <w:szCs w:val="18"/>
                <w:shd w:val="clear" w:color="auto" w:fill="17365D" w:themeFill="text2" w:themeFillShade="BF"/>
              </w:rPr>
              <w:t>volume</w:t>
            </w:r>
            <w:r>
              <w:rPr>
                <w:rFonts w:ascii="Arial" w:hAnsi="Arial" w:cs="Arial"/>
                <w:color w:val="FFFFFF" w:themeColor="background1"/>
                <w:sz w:val="18"/>
                <w:szCs w:val="18"/>
              </w:rPr>
              <w:t>)</w:t>
            </w:r>
          </w:p>
        </w:tc>
        <w:tc>
          <w:tcPr>
            <w:tcW w:w="1568" w:type="dxa"/>
            <w:tcBorders>
              <w:top w:val="none" w:sz="0" w:space="0" w:color="auto"/>
              <w:bottom w:val="none" w:sz="0" w:space="0" w:color="auto"/>
            </w:tcBorders>
            <w:shd w:val="clear" w:color="auto" w:fill="17365D" w:themeFill="text2" w:themeFillShade="BF"/>
            <w:vAlign w:val="center"/>
          </w:tcPr>
          <w:p w14:paraId="05EA1C40" w14:textId="77777777"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Price/volume</w:t>
            </w:r>
          </w:p>
        </w:tc>
        <w:tc>
          <w:tcPr>
            <w:tcW w:w="1916" w:type="dxa"/>
            <w:tcBorders>
              <w:top w:val="none" w:sz="0" w:space="0" w:color="auto"/>
              <w:bottom w:val="none" w:sz="0" w:space="0" w:color="auto"/>
            </w:tcBorders>
            <w:shd w:val="clear" w:color="auto" w:fill="17365D" w:themeFill="text2" w:themeFillShade="BF"/>
            <w:vAlign w:val="center"/>
          </w:tcPr>
          <w:p w14:paraId="1FB11B24" w14:textId="696DD8DD"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Change vs. </w:t>
            </w:r>
            <w:r w:rsidR="00F12C9A">
              <w:rPr>
                <w:rFonts w:ascii="Arial" w:hAnsi="Arial" w:cs="Arial"/>
                <w:color w:val="FFFFFF" w:themeColor="background1"/>
                <w:sz w:val="18"/>
                <w:szCs w:val="18"/>
              </w:rPr>
              <w:t>YA</w:t>
            </w:r>
          </w:p>
        </w:tc>
        <w:tc>
          <w:tcPr>
            <w:tcW w:w="2276" w:type="dxa"/>
            <w:tcBorders>
              <w:top w:val="none" w:sz="0" w:space="0" w:color="auto"/>
              <w:bottom w:val="none" w:sz="0" w:space="0" w:color="auto"/>
            </w:tcBorders>
            <w:shd w:val="clear" w:color="auto" w:fill="17365D" w:themeFill="text2" w:themeFillShade="BF"/>
            <w:vAlign w:val="center"/>
          </w:tcPr>
          <w:p w14:paraId="686B08F9" w14:textId="14B85680"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Change vs.</w:t>
            </w:r>
            <w:r w:rsidR="00702F57">
              <w:rPr>
                <w:rFonts w:ascii="Arial" w:hAnsi="Arial" w:cs="Arial"/>
                <w:color w:val="FFFFFF" w:themeColor="background1"/>
                <w:sz w:val="18"/>
                <w:szCs w:val="18"/>
              </w:rPr>
              <w:t>3</w:t>
            </w:r>
            <w:r w:rsidR="00F12C9A">
              <w:rPr>
                <w:rFonts w:ascii="Arial" w:hAnsi="Arial" w:cs="Arial"/>
                <w:color w:val="FFFFFF" w:themeColor="background1"/>
                <w:sz w:val="18"/>
                <w:szCs w:val="18"/>
              </w:rPr>
              <w:t>YA</w:t>
            </w:r>
          </w:p>
        </w:tc>
      </w:tr>
      <w:tr w:rsidR="00FE4399" w:rsidRPr="00FA2467" w14:paraId="09ED1CF0"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680FE8B6" w14:textId="5D52AF6B" w:rsidR="00FE4399" w:rsidRPr="00FA2467" w:rsidRDefault="00FE4399" w:rsidP="00FE4399">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Total meat (FW and RW) </w:t>
            </w:r>
            <w:r w:rsidR="000A2703">
              <w:rPr>
                <w:rFonts w:ascii="Arial" w:hAnsi="Arial" w:cs="Arial"/>
                <w:b w:val="0"/>
                <w:bCs w:val="0"/>
                <w:color w:val="000000" w:themeColor="text1"/>
                <w:sz w:val="18"/>
                <w:szCs w:val="18"/>
              </w:rPr>
              <w:t>June</w:t>
            </w:r>
            <w:r w:rsidR="00156CC6">
              <w:rPr>
                <w:rFonts w:ascii="Arial" w:hAnsi="Arial" w:cs="Arial"/>
                <w:b w:val="0"/>
                <w:bCs w:val="0"/>
                <w:color w:val="000000" w:themeColor="text1"/>
                <w:sz w:val="18"/>
                <w:szCs w:val="18"/>
              </w:rPr>
              <w:t xml:space="preserve"> </w:t>
            </w:r>
            <w:r>
              <w:rPr>
                <w:rFonts w:ascii="Arial" w:hAnsi="Arial" w:cs="Arial"/>
                <w:b w:val="0"/>
                <w:bCs w:val="0"/>
                <w:color w:val="000000" w:themeColor="text1"/>
                <w:sz w:val="18"/>
                <w:szCs w:val="18"/>
              </w:rPr>
              <w:t>2025</w:t>
            </w:r>
          </w:p>
        </w:tc>
        <w:tc>
          <w:tcPr>
            <w:tcW w:w="1568" w:type="dxa"/>
            <w:shd w:val="clear" w:color="auto" w:fill="D9D9D9" w:themeFill="background1" w:themeFillShade="D9"/>
            <w:vAlign w:val="center"/>
          </w:tcPr>
          <w:p w14:paraId="455F7A3D" w14:textId="2981CC6C" w:rsidR="00FE4399" w:rsidRPr="00FA2467" w:rsidRDefault="00FE4399" w:rsidP="00FE439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5B0011">
              <w:rPr>
                <w:rFonts w:ascii="Arial" w:hAnsi="Arial" w:cs="Arial"/>
                <w:color w:val="000000" w:themeColor="text1"/>
                <w:sz w:val="18"/>
                <w:szCs w:val="18"/>
              </w:rPr>
              <w:t>4.93</w:t>
            </w:r>
          </w:p>
        </w:tc>
        <w:tc>
          <w:tcPr>
            <w:tcW w:w="1916" w:type="dxa"/>
            <w:shd w:val="clear" w:color="auto" w:fill="D9D9D9" w:themeFill="background1" w:themeFillShade="D9"/>
            <w:vAlign w:val="center"/>
          </w:tcPr>
          <w:p w14:paraId="7AE1541E" w14:textId="0F50B525" w:rsidR="00FE4399" w:rsidRPr="00FA2467" w:rsidRDefault="00FE4399" w:rsidP="00FE439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5B0011">
              <w:rPr>
                <w:rFonts w:ascii="Arial" w:hAnsi="Arial" w:cs="Arial"/>
                <w:color w:val="000000" w:themeColor="text1"/>
                <w:sz w:val="18"/>
                <w:szCs w:val="18"/>
              </w:rPr>
              <w:t>4.0</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3164FA8F" w14:textId="0D2C641C" w:rsidR="00FE4399" w:rsidRPr="00FA2467" w:rsidRDefault="00FE4399" w:rsidP="00D07BD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B0011">
              <w:rPr>
                <w:rFonts w:ascii="Arial" w:hAnsi="Arial" w:cs="Arial"/>
                <w:color w:val="000000" w:themeColor="text1"/>
                <w:sz w:val="18"/>
                <w:szCs w:val="18"/>
              </w:rPr>
              <w:t>7.2</w:t>
            </w:r>
            <w:r w:rsidRPr="004B372A">
              <w:rPr>
                <w:rFonts w:ascii="Arial" w:hAnsi="Arial" w:cs="Arial"/>
                <w:color w:val="000000" w:themeColor="text1"/>
                <w:sz w:val="18"/>
                <w:szCs w:val="18"/>
              </w:rPr>
              <w:t>%</w:t>
            </w:r>
          </w:p>
        </w:tc>
      </w:tr>
      <w:tr w:rsidR="00FE4399" w:rsidRPr="00FA2467" w14:paraId="5EE5E6D3"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87BE69F" w14:textId="09AEFEAA" w:rsidR="00FE4399" w:rsidRPr="00FA2467" w:rsidRDefault="00FE4399" w:rsidP="00FE4399">
            <w:pPr>
              <w:pStyle w:val="NoSpacing"/>
              <w:rPr>
                <w:rFonts w:ascii="Arial" w:hAnsi="Arial" w:cs="Arial"/>
                <w:color w:val="000000" w:themeColor="text1"/>
                <w:sz w:val="18"/>
                <w:szCs w:val="18"/>
              </w:rPr>
            </w:pPr>
            <w:r w:rsidRPr="00FA2467">
              <w:rPr>
                <w:rFonts w:ascii="Arial" w:hAnsi="Arial" w:cs="Arial"/>
                <w:color w:val="000000" w:themeColor="text1"/>
                <w:sz w:val="18"/>
                <w:szCs w:val="18"/>
              </w:rPr>
              <w:t>Total meat latest 52</w:t>
            </w:r>
            <w:r>
              <w:rPr>
                <w:rFonts w:ascii="Arial" w:hAnsi="Arial" w:cs="Arial"/>
                <w:color w:val="000000" w:themeColor="text1"/>
                <w:sz w:val="18"/>
                <w:szCs w:val="18"/>
              </w:rPr>
              <w:t xml:space="preserve"> weeks</w:t>
            </w:r>
          </w:p>
        </w:tc>
        <w:tc>
          <w:tcPr>
            <w:tcW w:w="1568" w:type="dxa"/>
            <w:vAlign w:val="center"/>
          </w:tcPr>
          <w:p w14:paraId="744B4DE1" w14:textId="5F0C0C0C" w:rsidR="00FE4399" w:rsidRPr="00FD2223" w:rsidRDefault="00FE4399" w:rsidP="00FE439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5B0011">
              <w:rPr>
                <w:rFonts w:ascii="Arial" w:hAnsi="Arial" w:cs="Arial"/>
                <w:b/>
                <w:color w:val="000000" w:themeColor="text1"/>
                <w:sz w:val="18"/>
                <w:szCs w:val="18"/>
              </w:rPr>
              <w:t>4.67</w:t>
            </w:r>
          </w:p>
        </w:tc>
        <w:tc>
          <w:tcPr>
            <w:tcW w:w="1916" w:type="dxa"/>
            <w:vAlign w:val="center"/>
          </w:tcPr>
          <w:p w14:paraId="07F7B511" w14:textId="3D7938DC" w:rsidR="00FE4399" w:rsidRPr="00FD2223" w:rsidRDefault="00FE4399" w:rsidP="00FE439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5B0011">
              <w:rPr>
                <w:rFonts w:ascii="Arial" w:hAnsi="Arial" w:cs="Arial"/>
                <w:b/>
                <w:color w:val="000000" w:themeColor="text1"/>
                <w:sz w:val="18"/>
                <w:szCs w:val="18"/>
              </w:rPr>
              <w:t>3.3</w:t>
            </w:r>
            <w:r w:rsidRPr="00FD2223">
              <w:rPr>
                <w:rFonts w:ascii="Arial" w:hAnsi="Arial" w:cs="Arial"/>
                <w:b/>
                <w:color w:val="000000" w:themeColor="text1"/>
                <w:sz w:val="18"/>
                <w:szCs w:val="18"/>
              </w:rPr>
              <w:t>%</w:t>
            </w:r>
          </w:p>
        </w:tc>
        <w:tc>
          <w:tcPr>
            <w:tcW w:w="2276" w:type="dxa"/>
            <w:vAlign w:val="center"/>
          </w:tcPr>
          <w:p w14:paraId="44E9F842" w14:textId="4192A0D8" w:rsidR="00FE4399" w:rsidRPr="00FD2223" w:rsidRDefault="00FE4399" w:rsidP="00FE439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5B0011">
              <w:rPr>
                <w:rFonts w:ascii="Arial" w:hAnsi="Arial" w:cs="Arial"/>
                <w:b/>
                <w:color w:val="000000" w:themeColor="text1"/>
                <w:sz w:val="18"/>
                <w:szCs w:val="18"/>
              </w:rPr>
              <w:t>8.1</w:t>
            </w:r>
            <w:r w:rsidRPr="00FD2223">
              <w:rPr>
                <w:rFonts w:ascii="Arial" w:hAnsi="Arial" w:cs="Arial"/>
                <w:b/>
                <w:color w:val="000000" w:themeColor="text1"/>
                <w:sz w:val="18"/>
                <w:szCs w:val="18"/>
              </w:rPr>
              <w:t>%</w:t>
            </w:r>
          </w:p>
        </w:tc>
      </w:tr>
      <w:tr w:rsidR="008C536A" w:rsidRPr="00FA2467" w14:paraId="18E69721"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34D5073E" w14:textId="23C8D0D4" w:rsidR="008C536A" w:rsidRPr="00FA2467" w:rsidRDefault="008C536A" w:rsidP="008C536A">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Fresh meat </w:t>
            </w:r>
            <w:r>
              <w:rPr>
                <w:rFonts w:ascii="Arial" w:hAnsi="Arial" w:cs="Arial"/>
                <w:b w:val="0"/>
                <w:bCs w:val="0"/>
                <w:color w:val="000000" w:themeColor="text1"/>
                <w:sz w:val="18"/>
                <w:szCs w:val="18"/>
              </w:rPr>
              <w:t>June 2025</w:t>
            </w:r>
          </w:p>
        </w:tc>
        <w:tc>
          <w:tcPr>
            <w:tcW w:w="1568" w:type="dxa"/>
            <w:shd w:val="clear" w:color="auto" w:fill="D9D9D9" w:themeFill="background1" w:themeFillShade="D9"/>
            <w:vAlign w:val="center"/>
          </w:tcPr>
          <w:p w14:paraId="6B83A026" w14:textId="2EB76332" w:rsidR="008C536A" w:rsidRPr="00FA2467"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5B0011">
              <w:rPr>
                <w:rFonts w:ascii="Arial" w:hAnsi="Arial" w:cs="Arial"/>
                <w:color w:val="000000" w:themeColor="text1"/>
                <w:sz w:val="18"/>
                <w:szCs w:val="18"/>
              </w:rPr>
              <w:t>4.84</w:t>
            </w:r>
          </w:p>
        </w:tc>
        <w:tc>
          <w:tcPr>
            <w:tcW w:w="1916" w:type="dxa"/>
            <w:shd w:val="clear" w:color="auto" w:fill="D9D9D9" w:themeFill="background1" w:themeFillShade="D9"/>
            <w:vAlign w:val="center"/>
          </w:tcPr>
          <w:p w14:paraId="33A3CEB6" w14:textId="591C4CD5" w:rsidR="008C536A" w:rsidRPr="00FA2467"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5B0011">
              <w:rPr>
                <w:rFonts w:ascii="Arial" w:hAnsi="Arial" w:cs="Arial"/>
                <w:color w:val="000000" w:themeColor="text1"/>
                <w:sz w:val="18"/>
                <w:szCs w:val="18"/>
              </w:rPr>
              <w:t>5.1</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2E3DEE2A" w14:textId="3DBCD33F" w:rsidR="008C536A" w:rsidRPr="00FA2467"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B0011">
              <w:rPr>
                <w:rFonts w:ascii="Arial" w:hAnsi="Arial" w:cs="Arial"/>
                <w:color w:val="000000" w:themeColor="text1"/>
                <w:sz w:val="18"/>
                <w:szCs w:val="18"/>
              </w:rPr>
              <w:t>10.1</w:t>
            </w:r>
            <w:r w:rsidRPr="004B372A">
              <w:rPr>
                <w:rFonts w:ascii="Arial" w:hAnsi="Arial" w:cs="Arial"/>
                <w:color w:val="000000" w:themeColor="text1"/>
                <w:sz w:val="18"/>
                <w:szCs w:val="18"/>
              </w:rPr>
              <w:t>%</w:t>
            </w:r>
          </w:p>
        </w:tc>
      </w:tr>
      <w:tr w:rsidR="008C536A" w:rsidRPr="00FA2467" w14:paraId="0B920D1D"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140869B" w14:textId="23A5FA91" w:rsidR="008C536A" w:rsidRPr="00FA2467" w:rsidRDefault="008C536A" w:rsidP="008C536A">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Fresh meat latest 52</w:t>
            </w:r>
            <w:r>
              <w:rPr>
                <w:rFonts w:ascii="Arial" w:hAnsi="Arial" w:cs="Arial"/>
                <w:color w:val="000000" w:themeColor="text1"/>
                <w:sz w:val="18"/>
                <w:szCs w:val="18"/>
              </w:rPr>
              <w:t xml:space="preserve"> weeks</w:t>
            </w:r>
          </w:p>
        </w:tc>
        <w:tc>
          <w:tcPr>
            <w:tcW w:w="1568" w:type="dxa"/>
            <w:vAlign w:val="center"/>
          </w:tcPr>
          <w:p w14:paraId="0378DC4D" w14:textId="16824DD0" w:rsidR="008C536A" w:rsidRPr="00FD222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5B0011">
              <w:rPr>
                <w:rFonts w:ascii="Arial" w:hAnsi="Arial" w:cs="Arial"/>
                <w:b/>
                <w:color w:val="000000" w:themeColor="text1"/>
                <w:sz w:val="18"/>
                <w:szCs w:val="18"/>
              </w:rPr>
              <w:t>4.56</w:t>
            </w:r>
          </w:p>
        </w:tc>
        <w:tc>
          <w:tcPr>
            <w:tcW w:w="1916" w:type="dxa"/>
            <w:vAlign w:val="center"/>
          </w:tcPr>
          <w:p w14:paraId="4EA83057" w14:textId="7711E7BF" w:rsidR="008C536A" w:rsidRPr="00FD222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5B0011">
              <w:rPr>
                <w:rFonts w:ascii="Arial" w:hAnsi="Arial" w:cs="Arial"/>
                <w:b/>
                <w:color w:val="000000" w:themeColor="text1"/>
                <w:sz w:val="18"/>
                <w:szCs w:val="18"/>
              </w:rPr>
              <w:t>4.5</w:t>
            </w:r>
            <w:r w:rsidRPr="00FD2223">
              <w:rPr>
                <w:rFonts w:ascii="Arial" w:hAnsi="Arial" w:cs="Arial"/>
                <w:b/>
                <w:color w:val="000000" w:themeColor="text1"/>
                <w:sz w:val="18"/>
                <w:szCs w:val="18"/>
              </w:rPr>
              <w:t>%</w:t>
            </w:r>
          </w:p>
        </w:tc>
        <w:tc>
          <w:tcPr>
            <w:tcW w:w="2276" w:type="dxa"/>
            <w:vAlign w:val="center"/>
          </w:tcPr>
          <w:p w14:paraId="2553668E" w14:textId="1CA8DCCD" w:rsidR="008C536A" w:rsidRPr="00FD222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5B0011">
              <w:rPr>
                <w:rFonts w:ascii="Arial" w:hAnsi="Arial" w:cs="Arial"/>
                <w:b/>
                <w:color w:val="000000" w:themeColor="text1"/>
                <w:sz w:val="18"/>
                <w:szCs w:val="18"/>
              </w:rPr>
              <w:t>9.8</w:t>
            </w:r>
            <w:r w:rsidRPr="00FD2223">
              <w:rPr>
                <w:rFonts w:ascii="Arial" w:hAnsi="Arial" w:cs="Arial"/>
                <w:b/>
                <w:color w:val="000000" w:themeColor="text1"/>
                <w:sz w:val="18"/>
                <w:szCs w:val="18"/>
              </w:rPr>
              <w:t>%</w:t>
            </w:r>
          </w:p>
        </w:tc>
      </w:tr>
      <w:tr w:rsidR="008C536A" w:rsidRPr="00FA2467" w14:paraId="3EEE9FA8"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7D0DB57F" w14:textId="22E486D0" w:rsidR="008C536A" w:rsidRPr="00FA2467" w:rsidRDefault="008C536A" w:rsidP="008C536A">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Processed meat </w:t>
            </w:r>
            <w:r>
              <w:rPr>
                <w:rFonts w:ascii="Arial" w:hAnsi="Arial" w:cs="Arial"/>
                <w:b w:val="0"/>
                <w:bCs w:val="0"/>
                <w:color w:val="000000" w:themeColor="text1"/>
                <w:sz w:val="18"/>
                <w:szCs w:val="18"/>
              </w:rPr>
              <w:t>June 2025</w:t>
            </w:r>
          </w:p>
        </w:tc>
        <w:tc>
          <w:tcPr>
            <w:tcW w:w="1568" w:type="dxa"/>
            <w:shd w:val="clear" w:color="auto" w:fill="D9D9D9" w:themeFill="background1" w:themeFillShade="D9"/>
            <w:vAlign w:val="center"/>
          </w:tcPr>
          <w:p w14:paraId="11F8D089" w14:textId="5EE243CB" w:rsidR="008C536A" w:rsidRPr="00FA2467"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5B0011">
              <w:rPr>
                <w:rFonts w:ascii="Arial" w:hAnsi="Arial" w:cs="Arial"/>
                <w:color w:val="000000" w:themeColor="text1"/>
                <w:sz w:val="18"/>
                <w:szCs w:val="18"/>
              </w:rPr>
              <w:t>5.16</w:t>
            </w:r>
          </w:p>
        </w:tc>
        <w:tc>
          <w:tcPr>
            <w:tcW w:w="1916" w:type="dxa"/>
            <w:shd w:val="clear" w:color="auto" w:fill="D9D9D9" w:themeFill="background1" w:themeFillShade="D9"/>
            <w:vAlign w:val="center"/>
          </w:tcPr>
          <w:p w14:paraId="1164D3F1" w14:textId="795D3D5A" w:rsidR="008C536A" w:rsidRPr="00FA2467"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5B0011">
              <w:rPr>
                <w:rFonts w:ascii="Arial" w:hAnsi="Arial" w:cs="Arial"/>
                <w:color w:val="000000" w:themeColor="text1"/>
                <w:sz w:val="18"/>
                <w:szCs w:val="18"/>
              </w:rPr>
              <w:t>1.7</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6423728E" w14:textId="2BAC1AF5" w:rsidR="008C536A" w:rsidRPr="00FA2467"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B0011">
              <w:rPr>
                <w:rFonts w:ascii="Arial" w:hAnsi="Arial" w:cs="Arial"/>
                <w:color w:val="000000" w:themeColor="text1"/>
                <w:sz w:val="18"/>
                <w:szCs w:val="18"/>
              </w:rPr>
              <w:t>1.7</w:t>
            </w:r>
            <w:r w:rsidRPr="004B372A">
              <w:rPr>
                <w:rFonts w:ascii="Arial" w:hAnsi="Arial" w:cs="Arial"/>
                <w:color w:val="000000" w:themeColor="text1"/>
                <w:sz w:val="18"/>
                <w:szCs w:val="18"/>
              </w:rPr>
              <w:t>%</w:t>
            </w:r>
          </w:p>
        </w:tc>
      </w:tr>
      <w:tr w:rsidR="008C536A" w:rsidRPr="00FA2467" w14:paraId="1B87A5BB"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36FC35A" w14:textId="6DDDAB51" w:rsidR="008C536A" w:rsidRPr="00FA2467" w:rsidRDefault="008C536A" w:rsidP="008C536A">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Processed meat latest 52 </w:t>
            </w:r>
            <w:r>
              <w:rPr>
                <w:rFonts w:ascii="Arial" w:hAnsi="Arial" w:cs="Arial"/>
                <w:color w:val="000000" w:themeColor="text1"/>
                <w:sz w:val="18"/>
                <w:szCs w:val="18"/>
              </w:rPr>
              <w:t>weeks</w:t>
            </w:r>
          </w:p>
        </w:tc>
        <w:tc>
          <w:tcPr>
            <w:tcW w:w="1568" w:type="dxa"/>
            <w:vAlign w:val="center"/>
          </w:tcPr>
          <w:p w14:paraId="51A62CEF" w14:textId="1B47FC4E" w:rsidR="008C536A" w:rsidRPr="00FD222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5B0011">
              <w:rPr>
                <w:rFonts w:ascii="Arial" w:hAnsi="Arial" w:cs="Arial"/>
                <w:b/>
                <w:color w:val="000000" w:themeColor="text1"/>
                <w:sz w:val="18"/>
                <w:szCs w:val="18"/>
              </w:rPr>
              <w:t>4.98</w:t>
            </w:r>
          </w:p>
        </w:tc>
        <w:tc>
          <w:tcPr>
            <w:tcW w:w="1916" w:type="dxa"/>
            <w:vAlign w:val="center"/>
          </w:tcPr>
          <w:p w14:paraId="6F16B379" w14:textId="7C2A32E9" w:rsidR="008C536A" w:rsidRPr="00FD222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5B0011">
              <w:rPr>
                <w:rFonts w:ascii="Arial" w:hAnsi="Arial" w:cs="Arial"/>
                <w:b/>
                <w:color w:val="000000" w:themeColor="text1"/>
                <w:sz w:val="18"/>
                <w:szCs w:val="18"/>
              </w:rPr>
              <w:t>1.1</w:t>
            </w:r>
            <w:r w:rsidRPr="00FD2223">
              <w:rPr>
                <w:rFonts w:ascii="Arial" w:hAnsi="Arial" w:cs="Arial"/>
                <w:b/>
                <w:color w:val="000000" w:themeColor="text1"/>
                <w:sz w:val="18"/>
                <w:szCs w:val="18"/>
              </w:rPr>
              <w:t>%</w:t>
            </w:r>
          </w:p>
        </w:tc>
        <w:tc>
          <w:tcPr>
            <w:tcW w:w="2276" w:type="dxa"/>
            <w:vAlign w:val="center"/>
          </w:tcPr>
          <w:p w14:paraId="54F02350" w14:textId="16507CF9" w:rsidR="008C536A" w:rsidRPr="00FD222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D2223">
              <w:rPr>
                <w:rFonts w:ascii="Arial" w:hAnsi="Arial" w:cs="Arial"/>
                <w:b/>
                <w:color w:val="000000" w:themeColor="text1"/>
                <w:sz w:val="18"/>
                <w:szCs w:val="18"/>
              </w:rPr>
              <w:t>+</w:t>
            </w:r>
            <w:r w:rsidR="005B0011">
              <w:rPr>
                <w:rFonts w:ascii="Arial" w:hAnsi="Arial" w:cs="Arial"/>
                <w:b/>
                <w:color w:val="000000" w:themeColor="text1"/>
                <w:sz w:val="18"/>
                <w:szCs w:val="18"/>
              </w:rPr>
              <w:t>5.2</w:t>
            </w:r>
            <w:r w:rsidRPr="00FD2223">
              <w:rPr>
                <w:rFonts w:ascii="Arial" w:hAnsi="Arial" w:cs="Arial"/>
                <w:b/>
                <w:color w:val="000000" w:themeColor="text1"/>
                <w:sz w:val="18"/>
                <w:szCs w:val="18"/>
              </w:rPr>
              <w:t>%</w:t>
            </w:r>
          </w:p>
        </w:tc>
      </w:tr>
    </w:tbl>
    <w:p w14:paraId="3DEDBF77" w14:textId="6503C191" w:rsidR="003C65CF" w:rsidRPr="00FA2467" w:rsidRDefault="003C65CF" w:rsidP="003C65CF">
      <w:pPr>
        <w:pStyle w:val="NoSpacing"/>
        <w:rPr>
          <w:rFonts w:ascii="Arial" w:hAnsi="Arial" w:cs="Arial"/>
          <w:sz w:val="6"/>
          <w:szCs w:val="6"/>
        </w:rPr>
      </w:pPr>
    </w:p>
    <w:p w14:paraId="30A7027C" w14:textId="24EA6F56" w:rsidR="002D593A" w:rsidRPr="00FA2467" w:rsidRDefault="003C65CF" w:rsidP="00FB7738">
      <w:pPr>
        <w:pStyle w:val="NoSpacing"/>
        <w:rPr>
          <w:rFonts w:ascii="Arial" w:hAnsi="Arial" w:cs="Arial"/>
          <w:color w:val="7F7F7F" w:themeColor="text1" w:themeTint="80"/>
          <w:sz w:val="16"/>
          <w:szCs w:val="16"/>
        </w:rPr>
      </w:pPr>
      <w:r w:rsidRPr="00FA2467">
        <w:rPr>
          <w:rFonts w:ascii="Arial" w:hAnsi="Arial" w:cs="Arial"/>
          <w:color w:val="7F7F7F" w:themeColor="text1" w:themeTint="80"/>
          <w:sz w:val="16"/>
          <w:szCs w:val="16"/>
        </w:rPr>
        <w:t xml:space="preserve">Source: </w:t>
      </w:r>
      <w:proofErr w:type="spellStart"/>
      <w:r w:rsidR="00FB48FE" w:rsidRPr="00FA2467">
        <w:rPr>
          <w:rFonts w:ascii="Arial" w:hAnsi="Arial" w:cs="Arial"/>
          <w:color w:val="7F7F7F" w:themeColor="text1" w:themeTint="80"/>
          <w:sz w:val="16"/>
          <w:szCs w:val="16"/>
        </w:rPr>
        <w:t>Circana</w:t>
      </w:r>
      <w:proofErr w:type="spellEnd"/>
      <w:r w:rsidRPr="00FA2467">
        <w:rPr>
          <w:rFonts w:ascii="Arial" w:hAnsi="Arial" w:cs="Arial"/>
          <w:color w:val="7F7F7F" w:themeColor="text1" w:themeTint="80"/>
          <w:sz w:val="16"/>
          <w:szCs w:val="16"/>
        </w:rPr>
        <w:t xml:space="preserve">, Integrated Fresh, Total US, </w:t>
      </w:r>
      <w:r w:rsidR="00D85BA4" w:rsidRPr="00FA2467">
        <w:rPr>
          <w:rFonts w:ascii="Arial" w:hAnsi="Arial" w:cs="Arial"/>
          <w:color w:val="7F7F7F" w:themeColor="text1" w:themeTint="80"/>
          <w:sz w:val="16"/>
          <w:szCs w:val="16"/>
        </w:rPr>
        <w:t>MULO+</w:t>
      </w:r>
    </w:p>
    <w:p w14:paraId="08CF7F4C" w14:textId="77777777" w:rsidR="00573CCE" w:rsidRDefault="00573CCE" w:rsidP="00CB5A45">
      <w:pPr>
        <w:pStyle w:val="NoSpacing"/>
        <w:rPr>
          <w:rFonts w:ascii="Arial" w:hAnsi="Arial" w:cs="Arial"/>
          <w:sz w:val="20"/>
          <w:szCs w:val="20"/>
        </w:rPr>
      </w:pPr>
    </w:p>
    <w:p w14:paraId="167F5601" w14:textId="77777777" w:rsidR="00736703" w:rsidRDefault="00736703">
      <w:pPr>
        <w:rPr>
          <w:rFonts w:ascii="Arial" w:hAnsi="Arial" w:cs="Arial"/>
          <w:sz w:val="20"/>
          <w:szCs w:val="20"/>
        </w:rPr>
      </w:pPr>
      <w:r>
        <w:rPr>
          <w:rFonts w:ascii="Arial" w:hAnsi="Arial" w:cs="Arial"/>
          <w:sz w:val="20"/>
          <w:szCs w:val="20"/>
        </w:rPr>
        <w:br w:type="page"/>
      </w:r>
    </w:p>
    <w:p w14:paraId="420566C6" w14:textId="34F78392" w:rsidR="00A54264" w:rsidRDefault="003E1369" w:rsidP="00CB5A45">
      <w:pPr>
        <w:pStyle w:val="NoSpacing"/>
        <w:rPr>
          <w:rFonts w:ascii="Arial" w:hAnsi="Arial" w:cs="Arial"/>
          <w:sz w:val="20"/>
          <w:szCs w:val="20"/>
        </w:rPr>
      </w:pPr>
      <w:r>
        <w:rPr>
          <w:rFonts w:ascii="Arial" w:hAnsi="Arial" w:cs="Arial"/>
          <w:sz w:val="20"/>
          <w:szCs w:val="20"/>
        </w:rPr>
        <w:lastRenderedPageBreak/>
        <w:t>Inflation is no longer driven by beef alone</w:t>
      </w:r>
      <w:r w:rsidR="00573CCE">
        <w:rPr>
          <w:rFonts w:ascii="Arial" w:hAnsi="Arial" w:cs="Arial"/>
          <w:sz w:val="20"/>
          <w:szCs w:val="20"/>
        </w:rPr>
        <w:t>.</w:t>
      </w:r>
      <w:r>
        <w:rPr>
          <w:rFonts w:ascii="Arial" w:hAnsi="Arial" w:cs="Arial"/>
          <w:sz w:val="20"/>
          <w:szCs w:val="20"/>
        </w:rPr>
        <w:t xml:space="preserve"> While lamb and beef price increases led in June 2025, chicken and turkey prices also rose. On the processed meat side, several proteins gained, led by frankfurters and processed chicken.</w:t>
      </w:r>
      <w:r w:rsidR="00573CCE">
        <w:rPr>
          <w:rFonts w:ascii="Arial" w:hAnsi="Arial" w:cs="Arial"/>
          <w:sz w:val="20"/>
          <w:szCs w:val="20"/>
        </w:rPr>
        <w:t xml:space="preserve"> </w:t>
      </w:r>
      <w:r w:rsidR="0069212D">
        <w:rPr>
          <w:rFonts w:ascii="Arial" w:hAnsi="Arial" w:cs="Arial"/>
          <w:sz w:val="20"/>
          <w:szCs w:val="20"/>
        </w:rPr>
        <w:t xml:space="preserve"> </w:t>
      </w:r>
    </w:p>
    <w:p w14:paraId="2504AC37" w14:textId="38D0ED16" w:rsidR="00C771BB" w:rsidRDefault="00124EE7" w:rsidP="00124EE7">
      <w:pPr>
        <w:pStyle w:val="NoSpacing"/>
        <w:tabs>
          <w:tab w:val="left" w:pos="1260"/>
        </w:tabs>
        <w:rPr>
          <w:rFonts w:ascii="Arial" w:hAnsi="Arial" w:cs="Arial"/>
          <w:sz w:val="20"/>
          <w:szCs w:val="20"/>
        </w:rPr>
      </w:pPr>
      <w:r>
        <w:rPr>
          <w:rFonts w:ascii="Arial" w:hAnsi="Arial" w:cs="Arial"/>
          <w:sz w:val="20"/>
          <w:szCs w:val="20"/>
        </w:rPr>
        <w:tab/>
      </w:r>
    </w:p>
    <w:tbl>
      <w:tblPr>
        <w:tblStyle w:val="LightShading-Accent5"/>
        <w:tblW w:w="10065" w:type="dxa"/>
        <w:tblBorders>
          <w:top w:val="none" w:sz="0" w:space="0" w:color="auto"/>
          <w:bottom w:val="none" w:sz="0" w:space="0" w:color="auto"/>
        </w:tblBorders>
        <w:tblLayout w:type="fixed"/>
        <w:tblLook w:val="04A0" w:firstRow="1" w:lastRow="0" w:firstColumn="1" w:lastColumn="0" w:noHBand="0" w:noVBand="1"/>
      </w:tblPr>
      <w:tblGrid>
        <w:gridCol w:w="2520"/>
        <w:gridCol w:w="990"/>
        <w:gridCol w:w="1800"/>
        <w:gridCol w:w="2160"/>
        <w:gridCol w:w="1087"/>
        <w:gridCol w:w="1508"/>
      </w:tblGrid>
      <w:tr w:rsidR="00F10E39" w:rsidRPr="003C245B" w14:paraId="46707496" w14:textId="03010C93" w:rsidTr="00EE41DD">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bottom w:val="none" w:sz="0" w:space="0" w:color="auto"/>
            </w:tcBorders>
            <w:shd w:val="clear" w:color="auto" w:fill="17365D" w:themeFill="text2" w:themeFillShade="BF"/>
            <w:vAlign w:val="center"/>
          </w:tcPr>
          <w:p w14:paraId="20D1E7FB" w14:textId="63D8B893" w:rsidR="00F10E39" w:rsidRPr="00182993" w:rsidRDefault="000A2703" w:rsidP="00A27621">
            <w:pPr>
              <w:pStyle w:val="NoSpacing"/>
              <w:rPr>
                <w:rFonts w:ascii="Arial" w:hAnsi="Arial" w:cs="Arial"/>
                <w:color w:val="FFFFFF" w:themeColor="background1"/>
                <w:sz w:val="20"/>
                <w:szCs w:val="20"/>
              </w:rPr>
            </w:pPr>
            <w:bookmarkStart w:id="8" w:name="_Hlk102723196"/>
            <w:r>
              <w:rPr>
                <w:rFonts w:ascii="Arial" w:hAnsi="Arial" w:cs="Arial"/>
                <w:color w:val="FFFFFF" w:themeColor="background1"/>
                <w:sz w:val="20"/>
                <w:szCs w:val="20"/>
              </w:rPr>
              <w:t>June</w:t>
            </w:r>
            <w:r w:rsidR="00620B53">
              <w:rPr>
                <w:rFonts w:ascii="Arial" w:hAnsi="Arial" w:cs="Arial"/>
                <w:color w:val="FFFFFF" w:themeColor="background1"/>
                <w:sz w:val="20"/>
                <w:szCs w:val="20"/>
              </w:rPr>
              <w:t xml:space="preserve"> </w:t>
            </w:r>
            <w:r w:rsidR="00D058C0">
              <w:rPr>
                <w:rFonts w:ascii="Arial" w:hAnsi="Arial" w:cs="Arial"/>
                <w:color w:val="FFFFFF" w:themeColor="background1"/>
                <w:sz w:val="20"/>
                <w:szCs w:val="20"/>
              </w:rPr>
              <w:t>2025</w:t>
            </w:r>
          </w:p>
        </w:tc>
        <w:tc>
          <w:tcPr>
            <w:tcW w:w="990" w:type="dxa"/>
            <w:tcBorders>
              <w:top w:val="none" w:sz="0" w:space="0" w:color="auto"/>
              <w:bottom w:val="none" w:sz="0" w:space="0" w:color="auto"/>
            </w:tcBorders>
            <w:shd w:val="clear" w:color="auto" w:fill="17365D" w:themeFill="text2" w:themeFillShade="BF"/>
            <w:vAlign w:val="center"/>
          </w:tcPr>
          <w:p w14:paraId="2FBD3E48" w14:textId="77777777" w:rsidR="00F10E39" w:rsidRPr="006F4A8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Price/</w:t>
            </w:r>
            <w:proofErr w:type="spellStart"/>
            <w:r w:rsidRPr="006F4A83">
              <w:rPr>
                <w:rFonts w:ascii="Arial" w:hAnsi="Arial" w:cs="Arial"/>
                <w:color w:val="FFFFFF" w:themeColor="background1"/>
                <w:sz w:val="18"/>
                <w:szCs w:val="18"/>
              </w:rPr>
              <w:t>lbs</w:t>
            </w:r>
            <w:proofErr w:type="spellEnd"/>
          </w:p>
        </w:tc>
        <w:tc>
          <w:tcPr>
            <w:tcW w:w="1800" w:type="dxa"/>
            <w:tcBorders>
              <w:top w:val="none" w:sz="0" w:space="0" w:color="auto"/>
              <w:bottom w:val="none" w:sz="0" w:space="0" w:color="auto"/>
            </w:tcBorders>
            <w:shd w:val="clear" w:color="auto" w:fill="17365D" w:themeFill="text2" w:themeFillShade="BF"/>
            <w:vAlign w:val="center"/>
          </w:tcPr>
          <w:p w14:paraId="0A0B2F8B" w14:textId="77777777" w:rsidR="00F10E39" w:rsidRPr="006F4A8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Change vs. YA</w:t>
            </w:r>
          </w:p>
        </w:tc>
        <w:tc>
          <w:tcPr>
            <w:tcW w:w="2160" w:type="dxa"/>
            <w:tcBorders>
              <w:top w:val="none" w:sz="0" w:space="0" w:color="auto"/>
              <w:bottom w:val="none" w:sz="0" w:space="0" w:color="auto"/>
            </w:tcBorders>
            <w:shd w:val="clear" w:color="auto" w:fill="17365D" w:themeFill="text2" w:themeFillShade="BF"/>
            <w:vAlign w:val="center"/>
          </w:tcPr>
          <w:p w14:paraId="5A4C2078" w14:textId="4871070E" w:rsidR="00F10E39" w:rsidRPr="006F4A83" w:rsidRDefault="004D4B8A" w:rsidP="00A2762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Latest 52 weeks</w:t>
            </w:r>
          </w:p>
        </w:tc>
        <w:tc>
          <w:tcPr>
            <w:tcW w:w="1087" w:type="dxa"/>
            <w:tcBorders>
              <w:top w:val="none" w:sz="0" w:space="0" w:color="auto"/>
              <w:bottom w:val="none" w:sz="0" w:space="0" w:color="auto"/>
            </w:tcBorders>
            <w:shd w:val="clear" w:color="auto" w:fill="17365D" w:themeFill="text2" w:themeFillShade="BF"/>
            <w:vAlign w:val="center"/>
          </w:tcPr>
          <w:p w14:paraId="358676DC" w14:textId="08251044" w:rsidR="00F10E39" w:rsidRPr="006F4A8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Price/</w:t>
            </w:r>
            <w:proofErr w:type="spellStart"/>
            <w:r w:rsidRPr="006F4A83">
              <w:rPr>
                <w:rFonts w:ascii="Arial" w:hAnsi="Arial" w:cs="Arial"/>
                <w:color w:val="FFFFFF" w:themeColor="background1"/>
                <w:sz w:val="18"/>
                <w:szCs w:val="18"/>
              </w:rPr>
              <w:t>lbs</w:t>
            </w:r>
            <w:proofErr w:type="spellEnd"/>
          </w:p>
        </w:tc>
        <w:tc>
          <w:tcPr>
            <w:tcW w:w="1508" w:type="dxa"/>
            <w:tcBorders>
              <w:top w:val="none" w:sz="0" w:space="0" w:color="auto"/>
              <w:bottom w:val="none" w:sz="0" w:space="0" w:color="auto"/>
            </w:tcBorders>
            <w:shd w:val="clear" w:color="auto" w:fill="17365D" w:themeFill="text2" w:themeFillShade="BF"/>
            <w:vAlign w:val="center"/>
          </w:tcPr>
          <w:p w14:paraId="028AA98C" w14:textId="10EDB77B" w:rsidR="00F10E39" w:rsidRPr="006F4A8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6F4A83">
              <w:rPr>
                <w:rFonts w:ascii="Arial" w:hAnsi="Arial" w:cs="Arial"/>
                <w:color w:val="FFFFFF" w:themeColor="background1"/>
                <w:sz w:val="18"/>
                <w:szCs w:val="18"/>
              </w:rPr>
              <w:t>Change vs. YA</w:t>
            </w:r>
          </w:p>
        </w:tc>
      </w:tr>
      <w:tr w:rsidR="008C536A" w:rsidRPr="00C267F7" w14:paraId="283F595F" w14:textId="1C970840"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6335722F" w14:textId="2C02950A" w:rsidR="008C536A" w:rsidRPr="00F63B3F" w:rsidRDefault="008C536A" w:rsidP="008C536A">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beef</w:t>
            </w:r>
          </w:p>
        </w:tc>
        <w:tc>
          <w:tcPr>
            <w:tcW w:w="990" w:type="dxa"/>
            <w:shd w:val="clear" w:color="auto" w:fill="D9D9D9" w:themeFill="background1" w:themeFillShade="D9"/>
          </w:tcPr>
          <w:p w14:paraId="146A7129" w14:textId="13E69ED5"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7.30</w:t>
            </w:r>
          </w:p>
        </w:tc>
        <w:tc>
          <w:tcPr>
            <w:tcW w:w="1800" w:type="dxa"/>
            <w:tcBorders>
              <w:right w:val="single" w:sz="4" w:space="0" w:color="31849B" w:themeColor="accent5" w:themeShade="BF"/>
            </w:tcBorders>
            <w:shd w:val="clear" w:color="auto" w:fill="D9D9D9" w:themeFill="background1" w:themeFillShade="D9"/>
          </w:tcPr>
          <w:p w14:paraId="5283DD94" w14:textId="4F2B02C7"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37B17">
              <w:rPr>
                <w:rFonts w:ascii="Arial" w:hAnsi="Arial" w:cs="Arial"/>
                <w:color w:val="000000"/>
                <w:sz w:val="18"/>
                <w:szCs w:val="18"/>
              </w:rPr>
              <w:t>+</w:t>
            </w:r>
            <w:r w:rsidR="00E656F3">
              <w:rPr>
                <w:rFonts w:ascii="Arial" w:hAnsi="Arial" w:cs="Arial"/>
                <w:color w:val="000000"/>
                <w:sz w:val="18"/>
                <w:szCs w:val="18"/>
              </w:rPr>
              <w:t>6.7</w:t>
            </w:r>
            <w:r w:rsidRPr="00A37B17">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69242F0E" w14:textId="4DD5AB4D" w:rsidR="008C536A" w:rsidRPr="006F4A83" w:rsidRDefault="008C536A" w:rsidP="008C536A">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beef</w:t>
            </w:r>
          </w:p>
        </w:tc>
        <w:tc>
          <w:tcPr>
            <w:tcW w:w="1087" w:type="dxa"/>
            <w:shd w:val="clear" w:color="auto" w:fill="D9D9D9" w:themeFill="background1" w:themeFillShade="D9"/>
          </w:tcPr>
          <w:p w14:paraId="2C2E1895" w14:textId="52C1B558"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6.92</w:t>
            </w:r>
          </w:p>
        </w:tc>
        <w:tc>
          <w:tcPr>
            <w:tcW w:w="1508" w:type="dxa"/>
            <w:shd w:val="clear" w:color="auto" w:fill="D9D9D9" w:themeFill="background1" w:themeFillShade="D9"/>
          </w:tcPr>
          <w:p w14:paraId="7F71E690" w14:textId="7E8656AA"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0916">
              <w:rPr>
                <w:rFonts w:ascii="Arial" w:hAnsi="Arial" w:cs="Arial"/>
                <w:color w:val="000000"/>
                <w:sz w:val="18"/>
                <w:szCs w:val="18"/>
              </w:rPr>
              <w:t>+</w:t>
            </w:r>
            <w:r w:rsidR="00E656F3">
              <w:rPr>
                <w:rFonts w:ascii="Arial" w:hAnsi="Arial" w:cs="Arial"/>
                <w:color w:val="000000"/>
                <w:sz w:val="18"/>
                <w:szCs w:val="18"/>
              </w:rPr>
              <w:t>5.5</w:t>
            </w:r>
            <w:r w:rsidRPr="00200916">
              <w:rPr>
                <w:rFonts w:ascii="Arial" w:hAnsi="Arial" w:cs="Arial"/>
                <w:color w:val="000000"/>
                <w:sz w:val="18"/>
                <w:szCs w:val="18"/>
              </w:rPr>
              <w:t>%</w:t>
            </w:r>
          </w:p>
        </w:tc>
      </w:tr>
      <w:tr w:rsidR="008C536A" w:rsidRPr="00C267F7" w14:paraId="40BFAA9F" w14:textId="4FA72BBB" w:rsidTr="00D07BD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544BE2" w14:textId="304B9460" w:rsidR="008C536A" w:rsidRPr="00F63B3F" w:rsidRDefault="008C536A" w:rsidP="008C536A">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chicken</w:t>
            </w:r>
          </w:p>
        </w:tc>
        <w:tc>
          <w:tcPr>
            <w:tcW w:w="990" w:type="dxa"/>
          </w:tcPr>
          <w:p w14:paraId="39EFE3AF" w14:textId="7D19A71A"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3.20</w:t>
            </w:r>
          </w:p>
        </w:tc>
        <w:tc>
          <w:tcPr>
            <w:tcW w:w="1800" w:type="dxa"/>
            <w:tcBorders>
              <w:right w:val="single" w:sz="4" w:space="0" w:color="31849B" w:themeColor="accent5" w:themeShade="BF"/>
            </w:tcBorders>
          </w:tcPr>
          <w:p w14:paraId="42FE8E76" w14:textId="259E19DF"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37B17">
              <w:rPr>
                <w:rFonts w:ascii="Arial" w:hAnsi="Arial" w:cs="Arial"/>
                <w:color w:val="000000"/>
                <w:sz w:val="18"/>
                <w:szCs w:val="18"/>
              </w:rPr>
              <w:t>+</w:t>
            </w:r>
            <w:r w:rsidR="00E656F3">
              <w:rPr>
                <w:rFonts w:ascii="Arial" w:hAnsi="Arial" w:cs="Arial"/>
                <w:color w:val="000000"/>
                <w:sz w:val="18"/>
                <w:szCs w:val="18"/>
              </w:rPr>
              <w:t>4.8</w:t>
            </w:r>
            <w:r w:rsidRPr="00A37B17">
              <w:rPr>
                <w:rFonts w:ascii="Arial" w:hAnsi="Arial" w:cs="Arial"/>
                <w:color w:val="000000"/>
                <w:sz w:val="18"/>
                <w:szCs w:val="18"/>
              </w:rPr>
              <w:t>%</w:t>
            </w:r>
          </w:p>
        </w:tc>
        <w:tc>
          <w:tcPr>
            <w:tcW w:w="2160" w:type="dxa"/>
            <w:tcBorders>
              <w:left w:val="single" w:sz="4" w:space="0" w:color="31849B" w:themeColor="accent5" w:themeShade="BF"/>
            </w:tcBorders>
            <w:vAlign w:val="center"/>
          </w:tcPr>
          <w:p w14:paraId="5B4583DE" w14:textId="0517DC14" w:rsidR="008C536A" w:rsidRPr="006F4A83" w:rsidRDefault="008C536A" w:rsidP="008C536A">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chicken</w:t>
            </w:r>
          </w:p>
        </w:tc>
        <w:tc>
          <w:tcPr>
            <w:tcW w:w="1087" w:type="dxa"/>
          </w:tcPr>
          <w:p w14:paraId="14E0BACF" w14:textId="39562B02"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3.13</w:t>
            </w:r>
          </w:p>
        </w:tc>
        <w:tc>
          <w:tcPr>
            <w:tcW w:w="1508" w:type="dxa"/>
          </w:tcPr>
          <w:p w14:paraId="0C6B64E7" w14:textId="359581EC"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0916">
              <w:rPr>
                <w:rFonts w:ascii="Arial" w:hAnsi="Arial" w:cs="Arial"/>
                <w:color w:val="000000"/>
                <w:sz w:val="18"/>
                <w:szCs w:val="18"/>
              </w:rPr>
              <w:t>+</w:t>
            </w:r>
            <w:r w:rsidR="00E656F3">
              <w:rPr>
                <w:rFonts w:ascii="Arial" w:hAnsi="Arial" w:cs="Arial"/>
                <w:color w:val="000000"/>
                <w:sz w:val="18"/>
                <w:szCs w:val="18"/>
              </w:rPr>
              <w:t>2.7</w:t>
            </w:r>
            <w:r w:rsidRPr="00200916">
              <w:rPr>
                <w:rFonts w:ascii="Arial" w:hAnsi="Arial" w:cs="Arial"/>
                <w:color w:val="000000"/>
                <w:sz w:val="18"/>
                <w:szCs w:val="18"/>
              </w:rPr>
              <w:t>%</w:t>
            </w:r>
          </w:p>
        </w:tc>
      </w:tr>
      <w:tr w:rsidR="008C536A" w:rsidRPr="00C267F7" w14:paraId="03CE81FF" w14:textId="0F0AB342"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14016351" w14:textId="1E2970DA" w:rsidR="008C536A" w:rsidRPr="00F63B3F" w:rsidRDefault="008C536A" w:rsidP="008C536A">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pork</w:t>
            </w:r>
          </w:p>
        </w:tc>
        <w:tc>
          <w:tcPr>
            <w:tcW w:w="990" w:type="dxa"/>
            <w:shd w:val="clear" w:color="auto" w:fill="D9D9D9" w:themeFill="background1" w:themeFillShade="D9"/>
          </w:tcPr>
          <w:p w14:paraId="144BCDD4" w14:textId="1663A620"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3.21</w:t>
            </w:r>
          </w:p>
        </w:tc>
        <w:tc>
          <w:tcPr>
            <w:tcW w:w="1800" w:type="dxa"/>
            <w:tcBorders>
              <w:right w:val="single" w:sz="4" w:space="0" w:color="31849B" w:themeColor="accent5" w:themeShade="BF"/>
            </w:tcBorders>
            <w:shd w:val="clear" w:color="auto" w:fill="D9D9D9" w:themeFill="background1" w:themeFillShade="D9"/>
          </w:tcPr>
          <w:p w14:paraId="3B2408B8" w14:textId="662C9915" w:rsidR="008C536A" w:rsidRPr="006F4A83" w:rsidRDefault="00E656F3"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-1.5</w:t>
            </w:r>
            <w:r w:rsidR="008C536A" w:rsidRPr="00A37B17">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288BAD71" w14:textId="07E9143F" w:rsidR="008C536A" w:rsidRPr="006F4A83" w:rsidRDefault="008C536A" w:rsidP="008C536A">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pork</w:t>
            </w:r>
          </w:p>
        </w:tc>
        <w:tc>
          <w:tcPr>
            <w:tcW w:w="1087" w:type="dxa"/>
            <w:shd w:val="clear" w:color="auto" w:fill="D9D9D9" w:themeFill="background1" w:themeFillShade="D9"/>
          </w:tcPr>
          <w:p w14:paraId="11897FF3" w14:textId="4DE9DCA4"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3.21</w:t>
            </w:r>
          </w:p>
        </w:tc>
        <w:tc>
          <w:tcPr>
            <w:tcW w:w="1508" w:type="dxa"/>
            <w:shd w:val="clear" w:color="auto" w:fill="D9D9D9" w:themeFill="background1" w:themeFillShade="D9"/>
          </w:tcPr>
          <w:p w14:paraId="62FE5415" w14:textId="73E0BE83"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0916">
              <w:rPr>
                <w:rFonts w:ascii="Arial" w:hAnsi="Arial" w:cs="Arial"/>
                <w:color w:val="000000"/>
                <w:sz w:val="18"/>
                <w:szCs w:val="18"/>
              </w:rPr>
              <w:t>+</w:t>
            </w:r>
            <w:r w:rsidR="00E656F3">
              <w:rPr>
                <w:rFonts w:ascii="Arial" w:hAnsi="Arial" w:cs="Arial"/>
                <w:color w:val="000000"/>
                <w:sz w:val="18"/>
                <w:szCs w:val="18"/>
              </w:rPr>
              <w:t>1.5</w:t>
            </w:r>
            <w:r w:rsidRPr="00200916">
              <w:rPr>
                <w:rFonts w:ascii="Arial" w:hAnsi="Arial" w:cs="Arial"/>
                <w:color w:val="000000"/>
                <w:sz w:val="18"/>
                <w:szCs w:val="18"/>
              </w:rPr>
              <w:t>%</w:t>
            </w:r>
          </w:p>
        </w:tc>
      </w:tr>
      <w:tr w:rsidR="008C536A" w:rsidRPr="00C267F7" w14:paraId="229CC4A4" w14:textId="51EC9C6B" w:rsidTr="00D07BD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5DD4E7" w14:textId="0D5E67B1" w:rsidR="008C536A" w:rsidRPr="00F63B3F" w:rsidRDefault="008C536A" w:rsidP="008C536A">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turkey</w:t>
            </w:r>
          </w:p>
        </w:tc>
        <w:tc>
          <w:tcPr>
            <w:tcW w:w="990" w:type="dxa"/>
          </w:tcPr>
          <w:p w14:paraId="3EBD5D69" w14:textId="6EB3C103"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4.44</w:t>
            </w:r>
          </w:p>
        </w:tc>
        <w:tc>
          <w:tcPr>
            <w:tcW w:w="1800" w:type="dxa"/>
            <w:tcBorders>
              <w:right w:val="single" w:sz="4" w:space="0" w:color="31849B" w:themeColor="accent5" w:themeShade="BF"/>
            </w:tcBorders>
          </w:tcPr>
          <w:p w14:paraId="01B56788" w14:textId="508A4759"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37B17">
              <w:rPr>
                <w:rFonts w:ascii="Arial" w:hAnsi="Arial" w:cs="Arial"/>
                <w:color w:val="000000"/>
                <w:sz w:val="18"/>
                <w:szCs w:val="18"/>
              </w:rPr>
              <w:t>+</w:t>
            </w:r>
            <w:r w:rsidR="00E656F3">
              <w:rPr>
                <w:rFonts w:ascii="Arial" w:hAnsi="Arial" w:cs="Arial"/>
                <w:color w:val="000000"/>
                <w:sz w:val="18"/>
                <w:szCs w:val="18"/>
              </w:rPr>
              <w:t>6.2</w:t>
            </w:r>
            <w:r w:rsidRPr="00A37B17">
              <w:rPr>
                <w:rFonts w:ascii="Arial" w:hAnsi="Arial" w:cs="Arial"/>
                <w:color w:val="000000"/>
                <w:sz w:val="18"/>
                <w:szCs w:val="18"/>
              </w:rPr>
              <w:t>%</w:t>
            </w:r>
          </w:p>
        </w:tc>
        <w:tc>
          <w:tcPr>
            <w:tcW w:w="2160" w:type="dxa"/>
            <w:tcBorders>
              <w:left w:val="single" w:sz="4" w:space="0" w:color="31849B" w:themeColor="accent5" w:themeShade="BF"/>
            </w:tcBorders>
            <w:vAlign w:val="center"/>
          </w:tcPr>
          <w:p w14:paraId="7D399932" w14:textId="735371A9" w:rsidR="008C536A" w:rsidRPr="006F4A83" w:rsidRDefault="008C536A" w:rsidP="008C536A">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turkey</w:t>
            </w:r>
          </w:p>
        </w:tc>
        <w:tc>
          <w:tcPr>
            <w:tcW w:w="1087" w:type="dxa"/>
          </w:tcPr>
          <w:p w14:paraId="25B71BAF" w14:textId="4330662D"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2.62</w:t>
            </w:r>
          </w:p>
        </w:tc>
        <w:tc>
          <w:tcPr>
            <w:tcW w:w="1508" w:type="dxa"/>
          </w:tcPr>
          <w:p w14:paraId="7CADE09D" w14:textId="383E73A4"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E656F3">
              <w:rPr>
                <w:rFonts w:ascii="Arial" w:hAnsi="Arial" w:cs="Arial"/>
                <w:color w:val="000000"/>
                <w:sz w:val="18"/>
                <w:szCs w:val="18"/>
              </w:rPr>
              <w:t>2.0</w:t>
            </w:r>
            <w:r w:rsidRPr="004C257D">
              <w:rPr>
                <w:rFonts w:ascii="Arial" w:hAnsi="Arial" w:cs="Arial"/>
                <w:color w:val="000000"/>
                <w:sz w:val="18"/>
                <w:szCs w:val="18"/>
              </w:rPr>
              <w:t>%</w:t>
            </w:r>
          </w:p>
        </w:tc>
      </w:tr>
      <w:tr w:rsidR="008C536A" w:rsidRPr="00C267F7" w14:paraId="7C11163E" w14:textId="358ED149"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73309EDE" w14:textId="58968F19" w:rsidR="008C536A" w:rsidRPr="00F63B3F" w:rsidRDefault="008C536A" w:rsidP="008C536A">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lamb</w:t>
            </w:r>
          </w:p>
        </w:tc>
        <w:tc>
          <w:tcPr>
            <w:tcW w:w="990" w:type="dxa"/>
            <w:shd w:val="clear" w:color="auto" w:fill="D9D9D9" w:themeFill="background1" w:themeFillShade="D9"/>
          </w:tcPr>
          <w:p w14:paraId="2B4B9BF1" w14:textId="0C476840"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8.74</w:t>
            </w:r>
          </w:p>
        </w:tc>
        <w:tc>
          <w:tcPr>
            <w:tcW w:w="1800" w:type="dxa"/>
            <w:tcBorders>
              <w:right w:val="single" w:sz="4" w:space="0" w:color="31849B" w:themeColor="accent5" w:themeShade="BF"/>
            </w:tcBorders>
            <w:shd w:val="clear" w:color="auto" w:fill="D9D9D9" w:themeFill="background1" w:themeFillShade="D9"/>
          </w:tcPr>
          <w:p w14:paraId="0EAA389B" w14:textId="313FA6C8"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37B17">
              <w:rPr>
                <w:rFonts w:ascii="Arial" w:hAnsi="Arial" w:cs="Arial"/>
                <w:color w:val="000000"/>
                <w:sz w:val="18"/>
                <w:szCs w:val="18"/>
              </w:rPr>
              <w:t>+</w:t>
            </w:r>
            <w:r w:rsidR="00E656F3">
              <w:rPr>
                <w:rFonts w:ascii="Arial" w:hAnsi="Arial" w:cs="Arial"/>
                <w:color w:val="000000"/>
                <w:sz w:val="18"/>
                <w:szCs w:val="18"/>
              </w:rPr>
              <w:t>7.1</w:t>
            </w:r>
            <w:r w:rsidRPr="00A37B17">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2FFA6E0" w14:textId="19DA92CE" w:rsidR="008C536A" w:rsidRPr="006F4A83" w:rsidRDefault="008C536A" w:rsidP="008C536A">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lamb</w:t>
            </w:r>
          </w:p>
        </w:tc>
        <w:tc>
          <w:tcPr>
            <w:tcW w:w="1087" w:type="dxa"/>
            <w:shd w:val="clear" w:color="auto" w:fill="D9D9D9" w:themeFill="background1" w:themeFillShade="D9"/>
          </w:tcPr>
          <w:p w14:paraId="64B1B28B" w14:textId="695F44A8"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8.16</w:t>
            </w:r>
          </w:p>
        </w:tc>
        <w:tc>
          <w:tcPr>
            <w:tcW w:w="1508" w:type="dxa"/>
            <w:shd w:val="clear" w:color="auto" w:fill="D9D9D9" w:themeFill="background1" w:themeFillShade="D9"/>
          </w:tcPr>
          <w:p w14:paraId="101B702A" w14:textId="47973192"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E656F3">
              <w:rPr>
                <w:rFonts w:ascii="Arial" w:hAnsi="Arial" w:cs="Arial"/>
                <w:color w:val="000000"/>
                <w:sz w:val="18"/>
                <w:szCs w:val="18"/>
              </w:rPr>
              <w:t>0.2</w:t>
            </w:r>
            <w:r w:rsidRPr="004C257D">
              <w:rPr>
                <w:rFonts w:ascii="Arial" w:hAnsi="Arial" w:cs="Arial"/>
                <w:color w:val="000000"/>
                <w:sz w:val="18"/>
                <w:szCs w:val="18"/>
              </w:rPr>
              <w:t>%</w:t>
            </w:r>
          </w:p>
        </w:tc>
      </w:tr>
      <w:tr w:rsidR="008C536A" w:rsidRPr="00C267F7" w14:paraId="46FFF366" w14:textId="07AAC3CB" w:rsidTr="00D07BD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8F3672" w14:textId="77777777" w:rsidR="008C536A" w:rsidRPr="00F63B3F" w:rsidRDefault="008C536A" w:rsidP="008C536A">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exotic</w:t>
            </w:r>
          </w:p>
        </w:tc>
        <w:tc>
          <w:tcPr>
            <w:tcW w:w="990" w:type="dxa"/>
          </w:tcPr>
          <w:p w14:paraId="2F2878E0" w14:textId="6DA572ED"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9.83</w:t>
            </w:r>
          </w:p>
        </w:tc>
        <w:tc>
          <w:tcPr>
            <w:tcW w:w="1800" w:type="dxa"/>
            <w:tcBorders>
              <w:right w:val="single" w:sz="4" w:space="0" w:color="31849B" w:themeColor="accent5" w:themeShade="BF"/>
            </w:tcBorders>
          </w:tcPr>
          <w:p w14:paraId="3EB1EB76" w14:textId="788F0ABA" w:rsidR="008C536A" w:rsidRPr="006F4A83" w:rsidRDefault="00E656F3"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-2.3</w:t>
            </w:r>
            <w:r w:rsidR="008C536A" w:rsidRPr="00A37B17">
              <w:rPr>
                <w:rFonts w:ascii="Arial" w:hAnsi="Arial" w:cs="Arial"/>
                <w:color w:val="000000"/>
                <w:sz w:val="18"/>
                <w:szCs w:val="18"/>
              </w:rPr>
              <w:t>%</w:t>
            </w:r>
          </w:p>
        </w:tc>
        <w:tc>
          <w:tcPr>
            <w:tcW w:w="2160" w:type="dxa"/>
            <w:tcBorders>
              <w:left w:val="single" w:sz="4" w:space="0" w:color="31849B" w:themeColor="accent5" w:themeShade="BF"/>
            </w:tcBorders>
            <w:vAlign w:val="center"/>
          </w:tcPr>
          <w:p w14:paraId="3D25EFA1" w14:textId="0D2872A0" w:rsidR="008C536A" w:rsidRPr="006F4A83" w:rsidRDefault="008C536A" w:rsidP="008C536A">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Fresh exotic</w:t>
            </w:r>
          </w:p>
        </w:tc>
        <w:tc>
          <w:tcPr>
            <w:tcW w:w="1087" w:type="dxa"/>
          </w:tcPr>
          <w:p w14:paraId="7366C5C2" w14:textId="534C6272"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8.46</w:t>
            </w:r>
          </w:p>
        </w:tc>
        <w:tc>
          <w:tcPr>
            <w:tcW w:w="1508" w:type="dxa"/>
          </w:tcPr>
          <w:p w14:paraId="48BD8E40" w14:textId="4ADA78EE"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w:t>
            </w:r>
            <w:r w:rsidR="00E656F3">
              <w:rPr>
                <w:rFonts w:ascii="Arial" w:hAnsi="Arial" w:cs="Arial"/>
                <w:color w:val="000000"/>
                <w:sz w:val="18"/>
                <w:szCs w:val="18"/>
              </w:rPr>
              <w:t>2.1</w:t>
            </w:r>
            <w:r w:rsidRPr="004C257D">
              <w:rPr>
                <w:rFonts w:ascii="Arial" w:hAnsi="Arial" w:cs="Arial"/>
                <w:color w:val="000000"/>
                <w:sz w:val="18"/>
                <w:szCs w:val="18"/>
              </w:rPr>
              <w:t>%</w:t>
            </w:r>
          </w:p>
        </w:tc>
      </w:tr>
      <w:tr w:rsidR="008C536A" w:rsidRPr="00C267F7" w14:paraId="61635BD3" w14:textId="2B0700F2"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64295FA0" w14:textId="77777777" w:rsidR="008C536A" w:rsidRPr="00F63B3F" w:rsidRDefault="008C536A" w:rsidP="008C536A">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Bacon</w:t>
            </w:r>
          </w:p>
        </w:tc>
        <w:tc>
          <w:tcPr>
            <w:tcW w:w="990" w:type="dxa"/>
            <w:shd w:val="clear" w:color="auto" w:fill="D9D9D9" w:themeFill="background1" w:themeFillShade="D9"/>
          </w:tcPr>
          <w:p w14:paraId="22467995" w14:textId="690918F5"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6.27</w:t>
            </w:r>
          </w:p>
        </w:tc>
        <w:tc>
          <w:tcPr>
            <w:tcW w:w="1800" w:type="dxa"/>
            <w:tcBorders>
              <w:right w:val="single" w:sz="4" w:space="0" w:color="31849B" w:themeColor="accent5" w:themeShade="BF"/>
            </w:tcBorders>
            <w:shd w:val="clear" w:color="auto" w:fill="D9D9D9" w:themeFill="background1" w:themeFillShade="D9"/>
          </w:tcPr>
          <w:p w14:paraId="04B317A8" w14:textId="0601F5FA"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37B17">
              <w:rPr>
                <w:rFonts w:ascii="Arial" w:hAnsi="Arial" w:cs="Arial"/>
                <w:color w:val="000000"/>
                <w:sz w:val="18"/>
                <w:szCs w:val="18"/>
              </w:rPr>
              <w:t>+</w:t>
            </w:r>
            <w:r w:rsidR="00E656F3">
              <w:rPr>
                <w:rFonts w:ascii="Arial" w:hAnsi="Arial" w:cs="Arial"/>
                <w:color w:val="000000"/>
                <w:sz w:val="18"/>
                <w:szCs w:val="18"/>
              </w:rPr>
              <w:t>1.6</w:t>
            </w:r>
            <w:r w:rsidRPr="00A37B17">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6BC19A2" w14:textId="63C224A3" w:rsidR="008C536A" w:rsidRPr="006F4A83" w:rsidRDefault="008C536A" w:rsidP="008C536A">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Bacon</w:t>
            </w:r>
          </w:p>
        </w:tc>
        <w:tc>
          <w:tcPr>
            <w:tcW w:w="1087" w:type="dxa"/>
            <w:shd w:val="clear" w:color="auto" w:fill="D9D9D9" w:themeFill="background1" w:themeFillShade="D9"/>
          </w:tcPr>
          <w:p w14:paraId="39302DE6" w14:textId="384F4728"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6.19</w:t>
            </w:r>
          </w:p>
        </w:tc>
        <w:tc>
          <w:tcPr>
            <w:tcW w:w="1508" w:type="dxa"/>
            <w:shd w:val="clear" w:color="auto" w:fill="D9D9D9" w:themeFill="background1" w:themeFillShade="D9"/>
          </w:tcPr>
          <w:p w14:paraId="085DA66D" w14:textId="5D01563B"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C257D">
              <w:rPr>
                <w:rFonts w:ascii="Arial" w:hAnsi="Arial" w:cs="Arial"/>
                <w:color w:val="000000"/>
                <w:sz w:val="18"/>
                <w:szCs w:val="18"/>
              </w:rPr>
              <w:t>+</w:t>
            </w:r>
            <w:r w:rsidR="00E656F3">
              <w:rPr>
                <w:rFonts w:ascii="Arial" w:hAnsi="Arial" w:cs="Arial"/>
                <w:color w:val="000000"/>
                <w:sz w:val="18"/>
                <w:szCs w:val="18"/>
              </w:rPr>
              <w:t>1.5</w:t>
            </w:r>
            <w:r w:rsidRPr="004C257D">
              <w:rPr>
                <w:rFonts w:ascii="Arial" w:hAnsi="Arial" w:cs="Arial"/>
                <w:color w:val="000000"/>
                <w:sz w:val="18"/>
                <w:szCs w:val="18"/>
              </w:rPr>
              <w:t>%</w:t>
            </w:r>
          </w:p>
        </w:tc>
      </w:tr>
      <w:tr w:rsidR="008C536A" w:rsidRPr="00C267F7" w14:paraId="225C0BFC" w14:textId="0BC65D39" w:rsidTr="00D07BD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BC69A73" w14:textId="77777777" w:rsidR="008C536A" w:rsidRPr="00F63B3F" w:rsidRDefault="008C536A" w:rsidP="008C536A">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Packaged lunchmeat</w:t>
            </w:r>
          </w:p>
        </w:tc>
        <w:tc>
          <w:tcPr>
            <w:tcW w:w="990" w:type="dxa"/>
          </w:tcPr>
          <w:p w14:paraId="4D1FFDBA" w14:textId="0C241FEB"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5.89</w:t>
            </w:r>
          </w:p>
        </w:tc>
        <w:tc>
          <w:tcPr>
            <w:tcW w:w="1800" w:type="dxa"/>
            <w:tcBorders>
              <w:right w:val="single" w:sz="4" w:space="0" w:color="31849B" w:themeColor="accent5" w:themeShade="BF"/>
            </w:tcBorders>
          </w:tcPr>
          <w:p w14:paraId="5F559B24" w14:textId="06D6AB3D" w:rsidR="008C536A" w:rsidRPr="006F4A83" w:rsidRDefault="00E656F3"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-0.1</w:t>
            </w:r>
            <w:r w:rsidR="008C536A" w:rsidRPr="00A37B17">
              <w:rPr>
                <w:rFonts w:ascii="Arial" w:hAnsi="Arial" w:cs="Arial"/>
                <w:color w:val="000000"/>
                <w:sz w:val="18"/>
                <w:szCs w:val="18"/>
              </w:rPr>
              <w:t>%</w:t>
            </w:r>
          </w:p>
        </w:tc>
        <w:tc>
          <w:tcPr>
            <w:tcW w:w="2160" w:type="dxa"/>
            <w:tcBorders>
              <w:left w:val="single" w:sz="4" w:space="0" w:color="31849B" w:themeColor="accent5" w:themeShade="BF"/>
            </w:tcBorders>
            <w:vAlign w:val="center"/>
          </w:tcPr>
          <w:p w14:paraId="53F2FAF8" w14:textId="2A046A1E" w:rsidR="008C536A" w:rsidRPr="006F4A83" w:rsidRDefault="008C536A" w:rsidP="008C536A">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Packaged lunchmeat</w:t>
            </w:r>
          </w:p>
        </w:tc>
        <w:tc>
          <w:tcPr>
            <w:tcW w:w="1087" w:type="dxa"/>
          </w:tcPr>
          <w:p w14:paraId="2B92DCD4" w14:textId="65AFA887"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5.97</w:t>
            </w:r>
          </w:p>
        </w:tc>
        <w:tc>
          <w:tcPr>
            <w:tcW w:w="1508" w:type="dxa"/>
          </w:tcPr>
          <w:p w14:paraId="3C2E7799" w14:textId="53E72351"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C1086">
              <w:rPr>
                <w:rFonts w:ascii="Arial" w:hAnsi="Arial" w:cs="Arial"/>
                <w:color w:val="000000"/>
                <w:sz w:val="18"/>
                <w:szCs w:val="18"/>
              </w:rPr>
              <w:t>+</w:t>
            </w:r>
            <w:r w:rsidR="00E656F3">
              <w:rPr>
                <w:rFonts w:ascii="Arial" w:hAnsi="Arial" w:cs="Arial"/>
                <w:color w:val="000000"/>
                <w:sz w:val="18"/>
                <w:szCs w:val="18"/>
              </w:rPr>
              <w:t>1.3</w:t>
            </w:r>
            <w:r w:rsidRPr="004C1086">
              <w:rPr>
                <w:rFonts w:ascii="Arial" w:hAnsi="Arial" w:cs="Arial"/>
                <w:color w:val="000000"/>
                <w:sz w:val="18"/>
                <w:szCs w:val="18"/>
              </w:rPr>
              <w:t>%</w:t>
            </w:r>
          </w:p>
        </w:tc>
      </w:tr>
      <w:tr w:rsidR="008C536A" w:rsidRPr="00C267F7" w14:paraId="275A5FB4" w14:textId="5DAF0677"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40448AA1" w14:textId="77777777" w:rsidR="008C536A" w:rsidRPr="00F63B3F" w:rsidRDefault="008C536A" w:rsidP="008C536A">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Dinner sausage</w:t>
            </w:r>
          </w:p>
        </w:tc>
        <w:tc>
          <w:tcPr>
            <w:tcW w:w="990" w:type="dxa"/>
            <w:shd w:val="clear" w:color="auto" w:fill="D9D9D9" w:themeFill="background1" w:themeFillShade="D9"/>
          </w:tcPr>
          <w:p w14:paraId="2087124A" w14:textId="47FD8FB7"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4.42</w:t>
            </w:r>
          </w:p>
        </w:tc>
        <w:tc>
          <w:tcPr>
            <w:tcW w:w="1800" w:type="dxa"/>
            <w:tcBorders>
              <w:right w:val="single" w:sz="4" w:space="0" w:color="31849B" w:themeColor="accent5" w:themeShade="BF"/>
            </w:tcBorders>
            <w:shd w:val="clear" w:color="auto" w:fill="D9D9D9" w:themeFill="background1" w:themeFillShade="D9"/>
          </w:tcPr>
          <w:p w14:paraId="78D56584" w14:textId="416B0D5C"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37B17">
              <w:rPr>
                <w:rFonts w:ascii="Arial" w:hAnsi="Arial" w:cs="Arial"/>
                <w:color w:val="000000"/>
                <w:sz w:val="18"/>
                <w:szCs w:val="18"/>
              </w:rPr>
              <w:t>+</w:t>
            </w:r>
            <w:r w:rsidR="00E656F3">
              <w:rPr>
                <w:rFonts w:ascii="Arial" w:hAnsi="Arial" w:cs="Arial"/>
                <w:color w:val="000000"/>
                <w:sz w:val="18"/>
                <w:szCs w:val="18"/>
              </w:rPr>
              <w:t>1.6</w:t>
            </w:r>
            <w:r w:rsidRPr="00A37B17">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1E97F3ED" w14:textId="0667BFC4" w:rsidR="008C536A" w:rsidRPr="006F4A83" w:rsidRDefault="008C536A" w:rsidP="008C536A">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Dinner sausage</w:t>
            </w:r>
          </w:p>
        </w:tc>
        <w:tc>
          <w:tcPr>
            <w:tcW w:w="1087" w:type="dxa"/>
            <w:shd w:val="clear" w:color="auto" w:fill="D9D9D9" w:themeFill="background1" w:themeFillShade="D9"/>
          </w:tcPr>
          <w:p w14:paraId="467585C4" w14:textId="50E114CA"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4.47</w:t>
            </w:r>
          </w:p>
        </w:tc>
        <w:tc>
          <w:tcPr>
            <w:tcW w:w="1508" w:type="dxa"/>
            <w:shd w:val="clear" w:color="auto" w:fill="D9D9D9" w:themeFill="background1" w:themeFillShade="D9"/>
          </w:tcPr>
          <w:p w14:paraId="259992A9" w14:textId="62D529A5"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C1086">
              <w:rPr>
                <w:rFonts w:ascii="Arial" w:hAnsi="Arial" w:cs="Arial"/>
                <w:color w:val="000000"/>
                <w:sz w:val="18"/>
                <w:szCs w:val="18"/>
              </w:rPr>
              <w:t>+</w:t>
            </w:r>
            <w:r w:rsidR="00E656F3">
              <w:rPr>
                <w:rFonts w:ascii="Arial" w:hAnsi="Arial" w:cs="Arial"/>
                <w:color w:val="000000"/>
                <w:sz w:val="18"/>
                <w:szCs w:val="18"/>
              </w:rPr>
              <w:t>0.2</w:t>
            </w:r>
            <w:r w:rsidRPr="004C1086">
              <w:rPr>
                <w:rFonts w:ascii="Arial" w:hAnsi="Arial" w:cs="Arial"/>
                <w:color w:val="000000"/>
                <w:sz w:val="18"/>
                <w:szCs w:val="18"/>
              </w:rPr>
              <w:t>%</w:t>
            </w:r>
          </w:p>
        </w:tc>
      </w:tr>
      <w:tr w:rsidR="008C536A" w:rsidRPr="00C267F7" w14:paraId="1800BB78" w14:textId="0F9C2ACC" w:rsidTr="00D07BD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164332" w14:textId="77777777" w:rsidR="008C536A" w:rsidRPr="00F63B3F" w:rsidRDefault="008C536A" w:rsidP="008C536A">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Frankfurters</w:t>
            </w:r>
          </w:p>
        </w:tc>
        <w:tc>
          <w:tcPr>
            <w:tcW w:w="990" w:type="dxa"/>
          </w:tcPr>
          <w:p w14:paraId="5E1CC7F4" w14:textId="0A685C32"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3.81</w:t>
            </w:r>
          </w:p>
        </w:tc>
        <w:tc>
          <w:tcPr>
            <w:tcW w:w="1800" w:type="dxa"/>
            <w:tcBorders>
              <w:right w:val="single" w:sz="4" w:space="0" w:color="31849B" w:themeColor="accent5" w:themeShade="BF"/>
            </w:tcBorders>
          </w:tcPr>
          <w:p w14:paraId="112FBFF9" w14:textId="17FED061"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37B17">
              <w:rPr>
                <w:rFonts w:ascii="Arial" w:hAnsi="Arial" w:cs="Arial"/>
                <w:color w:val="000000"/>
                <w:sz w:val="18"/>
                <w:szCs w:val="18"/>
              </w:rPr>
              <w:t>+</w:t>
            </w:r>
            <w:r w:rsidR="00E656F3">
              <w:rPr>
                <w:rFonts w:ascii="Arial" w:hAnsi="Arial" w:cs="Arial"/>
                <w:color w:val="000000"/>
                <w:sz w:val="18"/>
                <w:szCs w:val="18"/>
              </w:rPr>
              <w:t>4.9</w:t>
            </w:r>
            <w:r w:rsidRPr="00A37B17">
              <w:rPr>
                <w:rFonts w:ascii="Arial" w:hAnsi="Arial" w:cs="Arial"/>
                <w:color w:val="000000"/>
                <w:sz w:val="18"/>
                <w:szCs w:val="18"/>
              </w:rPr>
              <w:t>%</w:t>
            </w:r>
          </w:p>
        </w:tc>
        <w:tc>
          <w:tcPr>
            <w:tcW w:w="2160" w:type="dxa"/>
            <w:tcBorders>
              <w:left w:val="single" w:sz="4" w:space="0" w:color="31849B" w:themeColor="accent5" w:themeShade="BF"/>
            </w:tcBorders>
            <w:vAlign w:val="center"/>
          </w:tcPr>
          <w:p w14:paraId="75229FEF" w14:textId="553484E3" w:rsidR="008C536A" w:rsidRPr="006F4A83" w:rsidRDefault="008C536A" w:rsidP="008C536A">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Frankfurters</w:t>
            </w:r>
          </w:p>
        </w:tc>
        <w:tc>
          <w:tcPr>
            <w:tcW w:w="1087" w:type="dxa"/>
          </w:tcPr>
          <w:p w14:paraId="4C5E8D22" w14:textId="4D085374"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3.69</w:t>
            </w:r>
          </w:p>
        </w:tc>
        <w:tc>
          <w:tcPr>
            <w:tcW w:w="1508" w:type="dxa"/>
          </w:tcPr>
          <w:p w14:paraId="62592E30" w14:textId="5F6E81BC"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C1086">
              <w:rPr>
                <w:rFonts w:ascii="Arial" w:hAnsi="Arial" w:cs="Arial"/>
                <w:color w:val="000000"/>
                <w:sz w:val="18"/>
                <w:szCs w:val="18"/>
              </w:rPr>
              <w:t>+</w:t>
            </w:r>
            <w:r w:rsidR="00E656F3">
              <w:rPr>
                <w:rFonts w:ascii="Arial" w:hAnsi="Arial" w:cs="Arial"/>
                <w:color w:val="000000"/>
                <w:sz w:val="18"/>
                <w:szCs w:val="18"/>
              </w:rPr>
              <w:t>3.4</w:t>
            </w:r>
            <w:r w:rsidRPr="004C1086">
              <w:rPr>
                <w:rFonts w:ascii="Arial" w:hAnsi="Arial" w:cs="Arial"/>
                <w:color w:val="000000"/>
                <w:sz w:val="18"/>
                <w:szCs w:val="18"/>
              </w:rPr>
              <w:t>%</w:t>
            </w:r>
          </w:p>
        </w:tc>
      </w:tr>
      <w:tr w:rsidR="008C536A" w:rsidRPr="00C267F7" w14:paraId="4C48DCB9" w14:textId="124DC34D"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6F249CA5" w14:textId="77777777" w:rsidR="008C536A" w:rsidRPr="00FA2467" w:rsidRDefault="008C536A" w:rsidP="008C536A">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Breakfast sausage</w:t>
            </w:r>
          </w:p>
        </w:tc>
        <w:tc>
          <w:tcPr>
            <w:tcW w:w="990" w:type="dxa"/>
            <w:shd w:val="clear" w:color="auto" w:fill="D9D9D9" w:themeFill="background1" w:themeFillShade="D9"/>
          </w:tcPr>
          <w:p w14:paraId="6A9A4CAA" w14:textId="31A3EFC4"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4.96</w:t>
            </w:r>
          </w:p>
        </w:tc>
        <w:tc>
          <w:tcPr>
            <w:tcW w:w="1800" w:type="dxa"/>
            <w:tcBorders>
              <w:right w:val="single" w:sz="4" w:space="0" w:color="31849B" w:themeColor="accent5" w:themeShade="BF"/>
            </w:tcBorders>
            <w:shd w:val="clear" w:color="auto" w:fill="D9D9D9" w:themeFill="background1" w:themeFillShade="D9"/>
          </w:tcPr>
          <w:p w14:paraId="3C7C1729" w14:textId="6BB6BD3B" w:rsidR="008C536A" w:rsidRPr="006F4A83" w:rsidRDefault="00E656F3"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0.0</w:t>
            </w:r>
            <w:r w:rsidR="008C536A" w:rsidRPr="00A37B17">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C4A2EF9" w14:textId="5ADAEBA1" w:rsidR="008C536A" w:rsidRPr="006F4A83" w:rsidRDefault="008C536A" w:rsidP="008C536A">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Breakfast sausage</w:t>
            </w:r>
          </w:p>
        </w:tc>
        <w:tc>
          <w:tcPr>
            <w:tcW w:w="1087" w:type="dxa"/>
            <w:shd w:val="clear" w:color="auto" w:fill="D9D9D9" w:themeFill="background1" w:themeFillShade="D9"/>
          </w:tcPr>
          <w:p w14:paraId="54F8E3AB" w14:textId="30982814"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4.79</w:t>
            </w:r>
          </w:p>
        </w:tc>
        <w:tc>
          <w:tcPr>
            <w:tcW w:w="1508" w:type="dxa"/>
            <w:shd w:val="clear" w:color="auto" w:fill="D9D9D9" w:themeFill="background1" w:themeFillShade="D9"/>
          </w:tcPr>
          <w:p w14:paraId="6B42EF76" w14:textId="43E3F476"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C1086">
              <w:rPr>
                <w:rFonts w:ascii="Arial" w:hAnsi="Arial" w:cs="Arial"/>
                <w:color w:val="000000"/>
                <w:sz w:val="18"/>
                <w:szCs w:val="18"/>
              </w:rPr>
              <w:t>+</w:t>
            </w:r>
            <w:r w:rsidR="00E656F3">
              <w:rPr>
                <w:rFonts w:ascii="Arial" w:hAnsi="Arial" w:cs="Arial"/>
                <w:color w:val="000000"/>
                <w:sz w:val="18"/>
                <w:szCs w:val="18"/>
              </w:rPr>
              <w:t>2.4</w:t>
            </w:r>
            <w:r w:rsidRPr="004C1086">
              <w:rPr>
                <w:rFonts w:ascii="Arial" w:hAnsi="Arial" w:cs="Arial"/>
                <w:color w:val="000000"/>
                <w:sz w:val="18"/>
                <w:szCs w:val="18"/>
              </w:rPr>
              <w:t>%</w:t>
            </w:r>
          </w:p>
        </w:tc>
      </w:tr>
      <w:tr w:rsidR="008C536A" w:rsidRPr="00C267F7" w14:paraId="4CA2A58E" w14:textId="01E961A1" w:rsidTr="00D07BDF">
        <w:trPr>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488C4F" w14:textId="77777777" w:rsidR="008C536A" w:rsidRPr="00FA2467" w:rsidRDefault="008C536A" w:rsidP="008C536A">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Smoked ham</w:t>
            </w:r>
          </w:p>
        </w:tc>
        <w:tc>
          <w:tcPr>
            <w:tcW w:w="990" w:type="dxa"/>
          </w:tcPr>
          <w:p w14:paraId="543B8A24" w14:textId="257EFE03"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3.92</w:t>
            </w:r>
          </w:p>
        </w:tc>
        <w:tc>
          <w:tcPr>
            <w:tcW w:w="1800" w:type="dxa"/>
            <w:tcBorders>
              <w:right w:val="single" w:sz="4" w:space="0" w:color="31849B" w:themeColor="accent5" w:themeShade="BF"/>
            </w:tcBorders>
          </w:tcPr>
          <w:p w14:paraId="0B2F5FF2" w14:textId="702A5E14" w:rsidR="008C536A" w:rsidRPr="006F4A83" w:rsidRDefault="00E656F3"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+2.3</w:t>
            </w:r>
            <w:r w:rsidR="008C536A" w:rsidRPr="00981A53">
              <w:rPr>
                <w:rFonts w:ascii="Arial" w:hAnsi="Arial" w:cs="Arial"/>
                <w:color w:val="000000"/>
                <w:sz w:val="18"/>
                <w:szCs w:val="18"/>
              </w:rPr>
              <w:t>%</w:t>
            </w:r>
          </w:p>
        </w:tc>
        <w:tc>
          <w:tcPr>
            <w:tcW w:w="2160" w:type="dxa"/>
            <w:tcBorders>
              <w:left w:val="single" w:sz="4" w:space="0" w:color="31849B" w:themeColor="accent5" w:themeShade="BF"/>
            </w:tcBorders>
            <w:vAlign w:val="center"/>
          </w:tcPr>
          <w:p w14:paraId="7153165B" w14:textId="1B8E604C" w:rsidR="008C536A" w:rsidRPr="006F4A83" w:rsidRDefault="008C536A" w:rsidP="008C536A">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Smoked ham</w:t>
            </w:r>
          </w:p>
        </w:tc>
        <w:tc>
          <w:tcPr>
            <w:tcW w:w="1087" w:type="dxa"/>
          </w:tcPr>
          <w:p w14:paraId="1B8D9C19" w14:textId="51D9A14D"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2.89</w:t>
            </w:r>
          </w:p>
        </w:tc>
        <w:tc>
          <w:tcPr>
            <w:tcW w:w="1508" w:type="dxa"/>
          </w:tcPr>
          <w:p w14:paraId="22AA1904" w14:textId="687C5C1B" w:rsidR="008C536A" w:rsidRPr="006F4A83"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C1086">
              <w:rPr>
                <w:rFonts w:ascii="Arial" w:hAnsi="Arial" w:cs="Arial"/>
                <w:color w:val="000000"/>
                <w:sz w:val="18"/>
                <w:szCs w:val="18"/>
              </w:rPr>
              <w:t>+</w:t>
            </w:r>
            <w:r w:rsidR="00E656F3">
              <w:rPr>
                <w:rFonts w:ascii="Arial" w:hAnsi="Arial" w:cs="Arial"/>
                <w:color w:val="000000"/>
                <w:sz w:val="18"/>
                <w:szCs w:val="18"/>
              </w:rPr>
              <w:t>1.3</w:t>
            </w:r>
            <w:r w:rsidRPr="004C1086">
              <w:rPr>
                <w:rFonts w:ascii="Arial" w:hAnsi="Arial" w:cs="Arial"/>
                <w:color w:val="000000"/>
                <w:sz w:val="18"/>
                <w:szCs w:val="18"/>
              </w:rPr>
              <w:t>%</w:t>
            </w:r>
          </w:p>
        </w:tc>
      </w:tr>
      <w:tr w:rsidR="008C536A" w:rsidRPr="00C267F7" w14:paraId="20FBCD3E" w14:textId="728E6F30" w:rsidTr="00D07BD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vAlign w:val="center"/>
          </w:tcPr>
          <w:p w14:paraId="16B60BC2" w14:textId="77777777" w:rsidR="008C536A" w:rsidRPr="00FA2467" w:rsidRDefault="008C536A" w:rsidP="008C536A">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Processed chicken</w:t>
            </w:r>
          </w:p>
        </w:tc>
        <w:tc>
          <w:tcPr>
            <w:tcW w:w="990" w:type="dxa"/>
            <w:shd w:val="clear" w:color="auto" w:fill="D9D9D9" w:themeFill="background1" w:themeFillShade="D9"/>
          </w:tcPr>
          <w:p w14:paraId="60EDDCC7" w14:textId="0B8BD7EE"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2240A">
              <w:rPr>
                <w:rFonts w:ascii="Arial" w:hAnsi="Arial" w:cs="Arial"/>
                <w:color w:val="000000"/>
                <w:sz w:val="18"/>
                <w:szCs w:val="18"/>
              </w:rPr>
              <w:t>$</w:t>
            </w:r>
            <w:r w:rsidR="00E656F3">
              <w:rPr>
                <w:rFonts w:ascii="Arial" w:hAnsi="Arial" w:cs="Arial"/>
                <w:color w:val="000000"/>
                <w:sz w:val="18"/>
                <w:szCs w:val="18"/>
              </w:rPr>
              <w:t>6.77</w:t>
            </w:r>
          </w:p>
        </w:tc>
        <w:tc>
          <w:tcPr>
            <w:tcW w:w="1800" w:type="dxa"/>
            <w:tcBorders>
              <w:right w:val="single" w:sz="4" w:space="0" w:color="31849B" w:themeColor="accent5" w:themeShade="BF"/>
            </w:tcBorders>
            <w:shd w:val="clear" w:color="auto" w:fill="D9D9D9" w:themeFill="background1" w:themeFillShade="D9"/>
          </w:tcPr>
          <w:p w14:paraId="203BAD30" w14:textId="6359F2AF" w:rsidR="008C536A" w:rsidRPr="006F4A83" w:rsidRDefault="00E656F3"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_+3.1</w:t>
            </w:r>
            <w:r w:rsidR="008C536A" w:rsidRPr="00981A53">
              <w:rPr>
                <w:rFonts w:ascii="Arial" w:hAnsi="Arial" w:cs="Arial"/>
                <w:color w:val="000000"/>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5D4C823E" w14:textId="40111129" w:rsidR="008C536A" w:rsidRPr="006F4A83" w:rsidRDefault="008C536A" w:rsidP="008C536A">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F4A83">
              <w:rPr>
                <w:rFonts w:ascii="Arial" w:hAnsi="Arial" w:cs="Arial"/>
                <w:bCs/>
                <w:color w:val="000000" w:themeColor="text1"/>
                <w:sz w:val="18"/>
                <w:szCs w:val="18"/>
              </w:rPr>
              <w:t>Processed chicken</w:t>
            </w:r>
          </w:p>
        </w:tc>
        <w:tc>
          <w:tcPr>
            <w:tcW w:w="1087" w:type="dxa"/>
            <w:shd w:val="clear" w:color="auto" w:fill="D9D9D9" w:themeFill="background1" w:themeFillShade="D9"/>
          </w:tcPr>
          <w:p w14:paraId="5B2D5D76" w14:textId="21C6B9A8" w:rsidR="008C536A" w:rsidRPr="006F4A83"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626E6">
              <w:rPr>
                <w:rFonts w:ascii="Arial" w:hAnsi="Arial" w:cs="Arial"/>
                <w:color w:val="000000"/>
                <w:sz w:val="18"/>
                <w:szCs w:val="18"/>
              </w:rPr>
              <w:t>$</w:t>
            </w:r>
            <w:r w:rsidR="00E656F3">
              <w:rPr>
                <w:rFonts w:ascii="Arial" w:hAnsi="Arial" w:cs="Arial"/>
                <w:color w:val="000000"/>
                <w:sz w:val="18"/>
                <w:szCs w:val="18"/>
              </w:rPr>
              <w:t>6.44</w:t>
            </w:r>
          </w:p>
        </w:tc>
        <w:tc>
          <w:tcPr>
            <w:tcW w:w="1508" w:type="dxa"/>
            <w:shd w:val="clear" w:color="auto" w:fill="D9D9D9" w:themeFill="background1" w:themeFillShade="D9"/>
          </w:tcPr>
          <w:p w14:paraId="76676902" w14:textId="27DF0A35" w:rsidR="008C536A" w:rsidRPr="006F4A83" w:rsidRDefault="00E656F3"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-0.2</w:t>
            </w:r>
            <w:r w:rsidR="008C536A" w:rsidRPr="004C1086">
              <w:rPr>
                <w:rFonts w:ascii="Arial" w:hAnsi="Arial" w:cs="Arial"/>
                <w:color w:val="000000"/>
                <w:sz w:val="18"/>
                <w:szCs w:val="18"/>
              </w:rPr>
              <w:t>%</w:t>
            </w:r>
          </w:p>
        </w:tc>
      </w:tr>
    </w:tbl>
    <w:p w14:paraId="76FD9724" w14:textId="10DC201E" w:rsidR="00BB6906" w:rsidRPr="001B04EA" w:rsidRDefault="00BB6906" w:rsidP="003C65CF">
      <w:pPr>
        <w:pStyle w:val="NoSpacing"/>
        <w:rPr>
          <w:rFonts w:ascii="Arial" w:hAnsi="Arial" w:cs="Arial"/>
          <w:sz w:val="8"/>
          <w:szCs w:val="8"/>
        </w:rPr>
      </w:pPr>
    </w:p>
    <w:p w14:paraId="799C3530" w14:textId="1BBF0E6B" w:rsidR="00BB6906" w:rsidRDefault="00BB6906" w:rsidP="00BB6906">
      <w:pPr>
        <w:pStyle w:val="NoSpacing"/>
        <w:rPr>
          <w:rFonts w:ascii="Arial" w:hAnsi="Arial" w:cs="Arial"/>
          <w:sz w:val="16"/>
          <w:szCs w:val="16"/>
        </w:rPr>
      </w:pPr>
      <w:r>
        <w:rPr>
          <w:rFonts w:ascii="Arial" w:hAnsi="Arial" w:cs="Arial"/>
          <w:sz w:val="16"/>
          <w:szCs w:val="16"/>
        </w:rPr>
        <w:t xml:space="preserve">Source: </w:t>
      </w:r>
      <w:proofErr w:type="spellStart"/>
      <w:r w:rsidR="00FB48FE">
        <w:rPr>
          <w:rFonts w:ascii="Arial" w:hAnsi="Arial" w:cs="Arial"/>
          <w:sz w:val="16"/>
          <w:szCs w:val="16"/>
        </w:rPr>
        <w:t>Circana</w:t>
      </w:r>
      <w:proofErr w:type="spellEnd"/>
      <w:r>
        <w:rPr>
          <w:rFonts w:ascii="Arial" w:hAnsi="Arial" w:cs="Arial"/>
          <w:sz w:val="16"/>
          <w:szCs w:val="16"/>
        </w:rPr>
        <w:t xml:space="preserve">, Integrated Fresh, Total US, </w:t>
      </w:r>
      <w:r w:rsidR="00D85BA4">
        <w:rPr>
          <w:rFonts w:ascii="Arial" w:hAnsi="Arial" w:cs="Arial"/>
          <w:sz w:val="16"/>
          <w:szCs w:val="16"/>
        </w:rPr>
        <w:t>MULO+</w:t>
      </w:r>
    </w:p>
    <w:bookmarkEnd w:id="8"/>
    <w:p w14:paraId="5F2CCD76" w14:textId="77777777" w:rsidR="00A13AC1" w:rsidRDefault="00A13AC1" w:rsidP="002D6E07">
      <w:pPr>
        <w:spacing w:after="0" w:line="240" w:lineRule="auto"/>
        <w:rPr>
          <w:rFonts w:ascii="Arial" w:hAnsi="Arial" w:cs="Arial"/>
          <w:b/>
          <w:bCs/>
          <w:color w:val="595959" w:themeColor="text1" w:themeTint="A6"/>
          <w:sz w:val="24"/>
          <w:szCs w:val="24"/>
        </w:rPr>
      </w:pPr>
    </w:p>
    <w:p w14:paraId="49FDD588" w14:textId="7756FCCA" w:rsidR="00AD3F7F" w:rsidRPr="00F220D0" w:rsidRDefault="00C713A9" w:rsidP="002D6E07">
      <w:pPr>
        <w:spacing w:after="0" w:line="240" w:lineRule="auto"/>
        <w:rPr>
          <w:rFonts w:ascii="Arial" w:hAnsi="Arial" w:cs="Arial"/>
          <w:b/>
          <w:bCs/>
          <w:color w:val="595959" w:themeColor="text1" w:themeTint="A6"/>
          <w:sz w:val="24"/>
          <w:szCs w:val="24"/>
        </w:rPr>
      </w:pPr>
      <w:r>
        <w:rPr>
          <w:rFonts w:ascii="Arial" w:hAnsi="Arial" w:cs="Arial"/>
          <w:b/>
          <w:bCs/>
          <w:color w:val="595959" w:themeColor="text1" w:themeTint="A6"/>
          <w:sz w:val="24"/>
          <w:szCs w:val="24"/>
        </w:rPr>
        <w:t xml:space="preserve">Meat Sales </w:t>
      </w:r>
    </w:p>
    <w:p w14:paraId="699CB109" w14:textId="4E73065D" w:rsidR="00480012" w:rsidRDefault="00573CCE" w:rsidP="002D6E07">
      <w:pPr>
        <w:spacing w:after="0" w:line="240" w:lineRule="auto"/>
        <w:rPr>
          <w:rFonts w:ascii="Arial" w:hAnsi="Arial" w:cs="Arial"/>
          <w:sz w:val="20"/>
          <w:szCs w:val="20"/>
        </w:rPr>
      </w:pPr>
      <w:r>
        <w:rPr>
          <w:rFonts w:ascii="Arial" w:hAnsi="Arial" w:cs="Arial"/>
          <w:sz w:val="20"/>
          <w:szCs w:val="20"/>
        </w:rPr>
        <w:t xml:space="preserve">The </w:t>
      </w:r>
      <w:r w:rsidR="000A2703">
        <w:rPr>
          <w:rFonts w:ascii="Arial" w:hAnsi="Arial" w:cs="Arial"/>
          <w:sz w:val="20"/>
          <w:szCs w:val="20"/>
        </w:rPr>
        <w:t>four</w:t>
      </w:r>
      <w:r>
        <w:rPr>
          <w:rFonts w:ascii="Arial" w:hAnsi="Arial" w:cs="Arial"/>
          <w:sz w:val="20"/>
          <w:szCs w:val="20"/>
        </w:rPr>
        <w:t xml:space="preserve">-week month of </w:t>
      </w:r>
      <w:r w:rsidR="000A2703">
        <w:rPr>
          <w:rFonts w:ascii="Arial" w:hAnsi="Arial" w:cs="Arial"/>
          <w:sz w:val="20"/>
          <w:szCs w:val="20"/>
        </w:rPr>
        <w:t>June</w:t>
      </w:r>
      <w:r w:rsidR="008C536A">
        <w:rPr>
          <w:rFonts w:ascii="Arial" w:hAnsi="Arial" w:cs="Arial"/>
          <w:sz w:val="20"/>
          <w:szCs w:val="20"/>
        </w:rPr>
        <w:t xml:space="preserve"> generated nearly $</w:t>
      </w:r>
      <w:r w:rsidR="007F1AA9">
        <w:rPr>
          <w:rFonts w:ascii="Arial" w:hAnsi="Arial" w:cs="Arial"/>
          <w:sz w:val="20"/>
          <w:szCs w:val="20"/>
        </w:rPr>
        <w:t>8.6</w:t>
      </w:r>
      <w:r>
        <w:rPr>
          <w:rFonts w:ascii="Arial" w:hAnsi="Arial" w:cs="Arial"/>
          <w:sz w:val="20"/>
          <w:szCs w:val="20"/>
        </w:rPr>
        <w:t xml:space="preserve"> billion in meat department sales</w:t>
      </w:r>
      <w:r w:rsidR="009A4955">
        <w:rPr>
          <w:rFonts w:ascii="Arial" w:hAnsi="Arial" w:cs="Arial"/>
          <w:sz w:val="20"/>
          <w:szCs w:val="20"/>
        </w:rPr>
        <w:t>.</w:t>
      </w:r>
      <w:r>
        <w:rPr>
          <w:rFonts w:ascii="Arial" w:hAnsi="Arial" w:cs="Arial"/>
          <w:sz w:val="20"/>
          <w:szCs w:val="20"/>
        </w:rPr>
        <w:t xml:space="preserve"> </w:t>
      </w:r>
      <w:r w:rsidR="003E1369">
        <w:rPr>
          <w:rFonts w:ascii="Arial" w:hAnsi="Arial" w:cs="Arial"/>
          <w:sz w:val="20"/>
          <w:szCs w:val="20"/>
        </w:rPr>
        <w:t>This reflects the inflation mentioned above on top of demand-driven growth</w:t>
      </w:r>
      <w:r>
        <w:rPr>
          <w:rFonts w:ascii="Arial" w:hAnsi="Arial" w:cs="Arial"/>
          <w:sz w:val="20"/>
          <w:szCs w:val="20"/>
        </w:rPr>
        <w:t>.</w:t>
      </w:r>
      <w:r w:rsidR="003E1369">
        <w:rPr>
          <w:rFonts w:ascii="Arial" w:hAnsi="Arial" w:cs="Arial"/>
          <w:sz w:val="20"/>
          <w:szCs w:val="20"/>
        </w:rPr>
        <w:t xml:space="preserve"> Pound sales increased 1.7% in June 2025. The increase was fully driven by fresh meat sales that increased 3.0% in June while processed meat sales were down a bit. </w:t>
      </w:r>
      <w:r w:rsidR="006D1212">
        <w:rPr>
          <w:rFonts w:ascii="Arial" w:hAnsi="Arial" w:cs="Arial"/>
          <w:sz w:val="20"/>
          <w:szCs w:val="20"/>
        </w:rPr>
        <w:t xml:space="preserve"> </w:t>
      </w:r>
    </w:p>
    <w:p w14:paraId="7E7192AF" w14:textId="77777777" w:rsidR="00953823" w:rsidRPr="00096680" w:rsidRDefault="00953823" w:rsidP="002D6E07">
      <w:pPr>
        <w:spacing w:after="0" w:line="240" w:lineRule="auto"/>
        <w:rPr>
          <w:rFonts w:ascii="Arial" w:hAnsi="Arial" w:cs="Arial"/>
          <w:sz w:val="10"/>
          <w:szCs w:val="10"/>
        </w:rPr>
      </w:pPr>
    </w:p>
    <w:tbl>
      <w:tblPr>
        <w:tblStyle w:val="LightShading-Accent5"/>
        <w:tblW w:w="10170" w:type="dxa"/>
        <w:tblBorders>
          <w:top w:val="none" w:sz="0" w:space="0" w:color="auto"/>
          <w:bottom w:val="none" w:sz="0" w:space="0" w:color="auto"/>
        </w:tblBorders>
        <w:tblLayout w:type="fixed"/>
        <w:tblLook w:val="04A0" w:firstRow="1" w:lastRow="0" w:firstColumn="1" w:lastColumn="0" w:noHBand="0" w:noVBand="1"/>
      </w:tblPr>
      <w:tblGrid>
        <w:gridCol w:w="2225"/>
        <w:gridCol w:w="882"/>
        <w:gridCol w:w="853"/>
        <w:gridCol w:w="913"/>
        <w:gridCol w:w="883"/>
        <w:gridCol w:w="882"/>
        <w:gridCol w:w="832"/>
        <w:gridCol w:w="934"/>
        <w:gridCol w:w="883"/>
        <w:gridCol w:w="883"/>
      </w:tblGrid>
      <w:tr w:rsidR="00EE5904" w:rsidRPr="00BC7615" w14:paraId="1E928301" w14:textId="77777777" w:rsidTr="00E35E7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25" w:type="dxa"/>
            <w:tcBorders>
              <w:top w:val="none" w:sz="0" w:space="0" w:color="auto"/>
              <w:bottom w:val="none" w:sz="0" w:space="0" w:color="auto"/>
            </w:tcBorders>
            <w:shd w:val="clear" w:color="auto" w:fill="17365D" w:themeFill="text2" w:themeFillShade="BF"/>
            <w:noWrap/>
          </w:tcPr>
          <w:p w14:paraId="091E3C4F" w14:textId="77777777" w:rsidR="00EE5904" w:rsidRPr="00BC7615" w:rsidRDefault="00EE5904" w:rsidP="00FB48FE">
            <w:pPr>
              <w:jc w:val="center"/>
              <w:rPr>
                <w:rFonts w:ascii="Arial" w:eastAsia="Times New Roman" w:hAnsi="Arial" w:cs="Arial"/>
                <w:bCs w:val="0"/>
                <w:color w:val="FFFFFF" w:themeColor="background1"/>
                <w:sz w:val="18"/>
                <w:szCs w:val="18"/>
              </w:rPr>
            </w:pPr>
          </w:p>
        </w:tc>
        <w:tc>
          <w:tcPr>
            <w:tcW w:w="4413" w:type="dxa"/>
            <w:gridSpan w:val="5"/>
            <w:tcBorders>
              <w:top w:val="none" w:sz="0" w:space="0" w:color="auto"/>
              <w:bottom w:val="none" w:sz="0" w:space="0" w:color="auto"/>
              <w:right w:val="none" w:sz="0" w:space="0" w:color="auto"/>
            </w:tcBorders>
            <w:shd w:val="clear" w:color="auto" w:fill="17365D" w:themeFill="text2" w:themeFillShade="BF"/>
          </w:tcPr>
          <w:p w14:paraId="67FC5234" w14:textId="41895FB1" w:rsidR="00EE5904" w:rsidRPr="00BC7615" w:rsidRDefault="000A2703" w:rsidP="00FB48FE">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20"/>
              </w:rPr>
            </w:pPr>
            <w:r>
              <w:rPr>
                <w:rFonts w:ascii="Arial" w:eastAsia="Times New Roman" w:hAnsi="Arial" w:cs="Arial"/>
                <w:bCs w:val="0"/>
                <w:color w:val="FFFFFF" w:themeColor="background1"/>
                <w:sz w:val="18"/>
                <w:szCs w:val="20"/>
              </w:rPr>
              <w:t>June</w:t>
            </w:r>
            <w:r w:rsidR="0069212D">
              <w:rPr>
                <w:rFonts w:ascii="Arial" w:eastAsia="Times New Roman" w:hAnsi="Arial" w:cs="Arial"/>
                <w:bCs w:val="0"/>
                <w:color w:val="FFFFFF" w:themeColor="background1"/>
                <w:sz w:val="18"/>
                <w:szCs w:val="20"/>
              </w:rPr>
              <w:t xml:space="preserve"> </w:t>
            </w:r>
            <w:r w:rsidR="00D058C0">
              <w:rPr>
                <w:rFonts w:ascii="Arial" w:eastAsia="Times New Roman" w:hAnsi="Arial" w:cs="Arial"/>
                <w:bCs w:val="0"/>
                <w:color w:val="FFFFFF" w:themeColor="background1"/>
                <w:sz w:val="18"/>
                <w:szCs w:val="20"/>
              </w:rPr>
              <w:t>2025</w:t>
            </w:r>
            <w:r w:rsidR="00EE5904" w:rsidRPr="00BC7615">
              <w:rPr>
                <w:rFonts w:ascii="Arial" w:eastAsia="Times New Roman" w:hAnsi="Arial" w:cs="Arial"/>
                <w:bCs w:val="0"/>
                <w:color w:val="FFFFFF" w:themeColor="background1"/>
                <w:sz w:val="18"/>
                <w:szCs w:val="20"/>
              </w:rPr>
              <w:t xml:space="preserve"> </w:t>
            </w:r>
          </w:p>
        </w:tc>
        <w:tc>
          <w:tcPr>
            <w:tcW w:w="3532" w:type="dxa"/>
            <w:gridSpan w:val="4"/>
            <w:tcBorders>
              <w:top w:val="none" w:sz="0" w:space="0" w:color="auto"/>
              <w:left w:val="none" w:sz="0" w:space="0" w:color="auto"/>
              <w:bottom w:val="none" w:sz="0" w:space="0" w:color="auto"/>
            </w:tcBorders>
            <w:shd w:val="clear" w:color="auto" w:fill="17365D" w:themeFill="text2" w:themeFillShade="BF"/>
          </w:tcPr>
          <w:p w14:paraId="55EA74DF" w14:textId="6B28D1F0" w:rsidR="00EE5904" w:rsidRPr="00BC7615" w:rsidRDefault="007E63BC" w:rsidP="00791103">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Pr>
                <w:rFonts w:ascii="Arial" w:hAnsi="Arial" w:cs="Arial"/>
                <w:bCs w:val="0"/>
                <w:color w:val="FFFFFF" w:themeColor="background1"/>
                <w:sz w:val="18"/>
                <w:szCs w:val="18"/>
              </w:rPr>
              <w:t xml:space="preserve">Latest 52 weeks </w:t>
            </w:r>
          </w:p>
        </w:tc>
      </w:tr>
      <w:tr w:rsidR="00103377" w:rsidRPr="00BC7615" w14:paraId="7B659F20" w14:textId="77777777" w:rsidTr="00E35E7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17365D" w:themeFill="text2" w:themeFillShade="BF"/>
            <w:noWrap/>
            <w:hideMark/>
          </w:tcPr>
          <w:p w14:paraId="75B877BB" w14:textId="77777777" w:rsidR="00AD0DD7" w:rsidRPr="00BC7615" w:rsidRDefault="00AD0DD7" w:rsidP="00AD0DD7">
            <w:pPr>
              <w:rPr>
                <w:rFonts w:ascii="Arial" w:eastAsia="Times New Roman" w:hAnsi="Arial" w:cs="Arial"/>
                <w:b w:val="0"/>
                <w:bCs w:val="0"/>
                <w:color w:val="FFFFFF" w:themeColor="background1"/>
                <w:sz w:val="18"/>
                <w:szCs w:val="18"/>
              </w:rPr>
            </w:pPr>
          </w:p>
        </w:tc>
        <w:tc>
          <w:tcPr>
            <w:tcW w:w="882" w:type="dxa"/>
            <w:shd w:val="clear" w:color="auto" w:fill="17365D" w:themeFill="text2" w:themeFillShade="BF"/>
          </w:tcPr>
          <w:p w14:paraId="40D62DE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 xml:space="preserve">Dollar </w:t>
            </w:r>
          </w:p>
          <w:p w14:paraId="73AAEEC5"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size</w:t>
            </w:r>
          </w:p>
        </w:tc>
        <w:tc>
          <w:tcPr>
            <w:tcW w:w="853" w:type="dxa"/>
            <w:shd w:val="clear" w:color="auto" w:fill="17365D" w:themeFill="text2" w:themeFillShade="BF"/>
          </w:tcPr>
          <w:p w14:paraId="7F96FA3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5E09291A"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13" w:type="dxa"/>
            <w:shd w:val="clear" w:color="auto" w:fill="17365D" w:themeFill="text2" w:themeFillShade="BF"/>
          </w:tcPr>
          <w:p w14:paraId="207ABBAA" w14:textId="4612084C"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1F7E2DD8" w14:textId="354A8BD5"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2" w:type="dxa"/>
            <w:shd w:val="clear" w:color="auto" w:fill="17365D" w:themeFill="text2" w:themeFillShade="BF"/>
          </w:tcPr>
          <w:p w14:paraId="46B17D14" w14:textId="66E2FA5F"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32" w:type="dxa"/>
            <w:shd w:val="clear" w:color="auto" w:fill="17365D" w:themeFill="text2" w:themeFillShade="BF"/>
          </w:tcPr>
          <w:p w14:paraId="2218384B"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1634486D" w14:textId="77777777"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34" w:type="dxa"/>
            <w:shd w:val="clear" w:color="auto" w:fill="17365D" w:themeFill="text2" w:themeFillShade="BF"/>
          </w:tcPr>
          <w:p w14:paraId="6ECB3365" w14:textId="4172CDF6"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047F9392" w14:textId="62B0E2BD"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3" w:type="dxa"/>
            <w:shd w:val="clear" w:color="auto" w:fill="17365D" w:themeFill="text2" w:themeFillShade="BF"/>
          </w:tcPr>
          <w:p w14:paraId="2D4CEE7B" w14:textId="72CA89F1"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r>
      <w:tr w:rsidR="00DF3F44" w14:paraId="08CDE343" w14:textId="77777777" w:rsidTr="001C3135">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hideMark/>
          </w:tcPr>
          <w:p w14:paraId="0496828B" w14:textId="73C41C32" w:rsidR="00DF3F44" w:rsidRPr="002E485B" w:rsidRDefault="00DF3F44" w:rsidP="00DF3F44">
            <w:pPr>
              <w:rPr>
                <w:rFonts w:ascii="Arial" w:eastAsia="Times New Roman" w:hAnsi="Arial" w:cs="Arial"/>
                <w:bCs w:val="0"/>
                <w:color w:val="000000" w:themeColor="text1"/>
                <w:sz w:val="18"/>
                <w:szCs w:val="18"/>
              </w:rPr>
            </w:pPr>
            <w:r w:rsidRPr="002E485B">
              <w:rPr>
                <w:rFonts w:ascii="Arial" w:hAnsi="Arial" w:cs="Arial"/>
                <w:bCs w:val="0"/>
                <w:color w:val="000000" w:themeColor="text1"/>
                <w:sz w:val="18"/>
                <w:szCs w:val="18"/>
              </w:rPr>
              <w:t>Total meat department</w:t>
            </w:r>
          </w:p>
        </w:tc>
        <w:tc>
          <w:tcPr>
            <w:tcW w:w="882" w:type="dxa"/>
            <w:vAlign w:val="bottom"/>
          </w:tcPr>
          <w:p w14:paraId="1D1AC1F9" w14:textId="632493FA" w:rsidR="00DF3F44" w:rsidRPr="00051D8D" w:rsidRDefault="00DF3F44" w:rsidP="00DF3F4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51D8D">
              <w:rPr>
                <w:rFonts w:ascii="Arial" w:hAnsi="Arial" w:cs="Arial"/>
                <w:b/>
                <w:bCs/>
                <w:color w:val="000000"/>
                <w:sz w:val="18"/>
                <w:szCs w:val="18"/>
              </w:rPr>
              <w:t>$</w:t>
            </w:r>
            <w:r w:rsidR="005B0011">
              <w:rPr>
                <w:rFonts w:ascii="Arial" w:hAnsi="Arial" w:cs="Arial"/>
                <w:b/>
                <w:bCs/>
                <w:color w:val="000000"/>
                <w:sz w:val="18"/>
                <w:szCs w:val="18"/>
              </w:rPr>
              <w:t>8.6</w:t>
            </w:r>
            <w:r w:rsidRPr="00051D8D">
              <w:rPr>
                <w:rFonts w:ascii="Arial" w:hAnsi="Arial" w:cs="Arial"/>
                <w:b/>
                <w:bCs/>
                <w:color w:val="000000"/>
                <w:sz w:val="18"/>
                <w:szCs w:val="18"/>
              </w:rPr>
              <w:t>B</w:t>
            </w:r>
          </w:p>
        </w:tc>
        <w:tc>
          <w:tcPr>
            <w:tcW w:w="853" w:type="dxa"/>
          </w:tcPr>
          <w:p w14:paraId="26903F21" w14:textId="52A80763" w:rsidR="00DF3F44" w:rsidRPr="00051D8D" w:rsidRDefault="00DF3F44" w:rsidP="00DF3F4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8"/>
                <w:szCs w:val="18"/>
              </w:rPr>
            </w:pPr>
            <w:r w:rsidRPr="00051D8D">
              <w:rPr>
                <w:rFonts w:ascii="Arial" w:hAnsi="Arial" w:cs="Arial"/>
                <w:b/>
                <w:bCs/>
                <w:color w:val="000000"/>
                <w:sz w:val="18"/>
                <w:szCs w:val="18"/>
              </w:rPr>
              <w:t>+</w:t>
            </w:r>
            <w:r w:rsidR="005B0011">
              <w:rPr>
                <w:rFonts w:ascii="Arial" w:hAnsi="Arial" w:cs="Arial"/>
                <w:b/>
                <w:bCs/>
                <w:color w:val="000000"/>
                <w:sz w:val="18"/>
                <w:szCs w:val="18"/>
              </w:rPr>
              <w:t>5.8</w:t>
            </w:r>
            <w:r w:rsidRPr="00051D8D">
              <w:rPr>
                <w:rFonts w:ascii="Arial" w:hAnsi="Arial" w:cs="Arial"/>
                <w:b/>
                <w:bCs/>
                <w:color w:val="000000"/>
                <w:sz w:val="18"/>
                <w:szCs w:val="18"/>
              </w:rPr>
              <w:t>%</w:t>
            </w:r>
          </w:p>
        </w:tc>
        <w:tc>
          <w:tcPr>
            <w:tcW w:w="913" w:type="dxa"/>
          </w:tcPr>
          <w:p w14:paraId="06D2AE62" w14:textId="76D173A9" w:rsidR="00DF3F44" w:rsidRPr="00051D8D" w:rsidRDefault="00DF3F44" w:rsidP="00DF3F4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51D8D">
              <w:rPr>
                <w:rFonts w:ascii="Arial" w:hAnsi="Arial" w:cs="Arial"/>
                <w:b/>
                <w:bCs/>
                <w:color w:val="000000"/>
                <w:sz w:val="18"/>
                <w:szCs w:val="18"/>
              </w:rPr>
              <w:t>+</w:t>
            </w:r>
            <w:r w:rsidR="005B0011">
              <w:rPr>
                <w:rFonts w:ascii="Arial" w:hAnsi="Arial" w:cs="Arial"/>
                <w:b/>
                <w:bCs/>
                <w:color w:val="000000"/>
                <w:sz w:val="18"/>
                <w:szCs w:val="18"/>
              </w:rPr>
              <w:t>9.3</w:t>
            </w:r>
            <w:r w:rsidRPr="00051D8D">
              <w:rPr>
                <w:rFonts w:ascii="Arial" w:hAnsi="Arial" w:cs="Arial"/>
                <w:b/>
                <w:bCs/>
                <w:color w:val="000000"/>
                <w:sz w:val="18"/>
                <w:szCs w:val="18"/>
              </w:rPr>
              <w:t>%</w:t>
            </w:r>
          </w:p>
        </w:tc>
        <w:tc>
          <w:tcPr>
            <w:tcW w:w="883" w:type="dxa"/>
          </w:tcPr>
          <w:p w14:paraId="5B788D76" w14:textId="60DF13F2" w:rsidR="00DF3F44" w:rsidRPr="00051D8D" w:rsidRDefault="00D07BDF"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sz w:val="18"/>
                <w:szCs w:val="18"/>
              </w:rPr>
              <w:t>+</w:t>
            </w:r>
            <w:r w:rsidR="005B0011">
              <w:rPr>
                <w:rFonts w:ascii="Arial" w:hAnsi="Arial" w:cs="Arial"/>
                <w:b/>
                <w:bCs/>
                <w:color w:val="000000"/>
                <w:sz w:val="18"/>
                <w:szCs w:val="18"/>
              </w:rPr>
              <w:t>1.7</w:t>
            </w:r>
            <w:r w:rsidR="00DF3F44" w:rsidRPr="00051D8D">
              <w:rPr>
                <w:rFonts w:ascii="Arial" w:hAnsi="Arial" w:cs="Arial"/>
                <w:b/>
                <w:bCs/>
                <w:color w:val="000000"/>
                <w:sz w:val="18"/>
                <w:szCs w:val="18"/>
              </w:rPr>
              <w:t>%</w:t>
            </w:r>
          </w:p>
        </w:tc>
        <w:tc>
          <w:tcPr>
            <w:tcW w:w="882" w:type="dxa"/>
            <w:tcBorders>
              <w:right w:val="single" w:sz="4" w:space="0" w:color="1F497D" w:themeColor="text2"/>
            </w:tcBorders>
          </w:tcPr>
          <w:p w14:paraId="3AD7D9FC" w14:textId="1A1F1A20" w:rsidR="00DF3F44" w:rsidRPr="00051D8D" w:rsidRDefault="00A57A8C" w:rsidP="008C536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sz w:val="18"/>
                <w:szCs w:val="18"/>
              </w:rPr>
              <w:t>+</w:t>
            </w:r>
            <w:r w:rsidR="005B0011">
              <w:rPr>
                <w:rFonts w:ascii="Arial" w:hAnsi="Arial" w:cs="Arial"/>
                <w:b/>
                <w:bCs/>
                <w:color w:val="000000"/>
                <w:sz w:val="18"/>
                <w:szCs w:val="18"/>
              </w:rPr>
              <w:t>2.0</w:t>
            </w:r>
            <w:r w:rsidR="00DF3F44" w:rsidRPr="00051D8D">
              <w:rPr>
                <w:rFonts w:ascii="Arial" w:hAnsi="Arial" w:cs="Arial"/>
                <w:b/>
                <w:bCs/>
                <w:color w:val="000000"/>
                <w:sz w:val="18"/>
                <w:szCs w:val="18"/>
              </w:rPr>
              <w:t>%</w:t>
            </w:r>
          </w:p>
        </w:tc>
        <w:tc>
          <w:tcPr>
            <w:tcW w:w="832" w:type="dxa"/>
            <w:tcBorders>
              <w:left w:val="single" w:sz="4" w:space="0" w:color="1F497D" w:themeColor="text2"/>
            </w:tcBorders>
          </w:tcPr>
          <w:p w14:paraId="05D26487" w14:textId="3B281762" w:rsidR="00DF3F44" w:rsidRPr="00051D8D" w:rsidRDefault="00DF3F44" w:rsidP="008C536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51D8D">
              <w:rPr>
                <w:rFonts w:ascii="Arial" w:hAnsi="Arial" w:cs="Arial"/>
                <w:b/>
                <w:bCs/>
                <w:color w:val="000000"/>
                <w:sz w:val="18"/>
                <w:szCs w:val="18"/>
              </w:rPr>
              <w:t>+</w:t>
            </w:r>
            <w:r w:rsidR="005B0011">
              <w:rPr>
                <w:rFonts w:ascii="Arial" w:hAnsi="Arial" w:cs="Arial"/>
                <w:b/>
                <w:bCs/>
                <w:color w:val="000000"/>
                <w:sz w:val="18"/>
                <w:szCs w:val="18"/>
              </w:rPr>
              <w:t>6.5</w:t>
            </w:r>
            <w:r w:rsidRPr="00051D8D">
              <w:rPr>
                <w:rFonts w:ascii="Arial" w:hAnsi="Arial" w:cs="Arial"/>
                <w:b/>
                <w:bCs/>
                <w:color w:val="000000"/>
                <w:sz w:val="18"/>
                <w:szCs w:val="18"/>
              </w:rPr>
              <w:t>%</w:t>
            </w:r>
          </w:p>
        </w:tc>
        <w:tc>
          <w:tcPr>
            <w:tcW w:w="934" w:type="dxa"/>
          </w:tcPr>
          <w:p w14:paraId="7367498F" w14:textId="71A2441D" w:rsidR="00DF3F44" w:rsidRPr="00051D8D" w:rsidRDefault="00DF3F44" w:rsidP="008C536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51D8D">
              <w:rPr>
                <w:rFonts w:ascii="Arial" w:hAnsi="Arial" w:cs="Arial"/>
                <w:b/>
                <w:bCs/>
                <w:color w:val="000000"/>
                <w:sz w:val="18"/>
                <w:szCs w:val="18"/>
              </w:rPr>
              <w:t>+</w:t>
            </w:r>
            <w:r w:rsidR="005B0011">
              <w:rPr>
                <w:rFonts w:ascii="Arial" w:hAnsi="Arial" w:cs="Arial"/>
                <w:b/>
                <w:bCs/>
                <w:color w:val="000000"/>
                <w:sz w:val="18"/>
                <w:szCs w:val="18"/>
              </w:rPr>
              <w:t>9.0</w:t>
            </w:r>
            <w:r w:rsidRPr="00051D8D">
              <w:rPr>
                <w:rFonts w:ascii="Arial" w:hAnsi="Arial" w:cs="Arial"/>
                <w:b/>
                <w:bCs/>
                <w:color w:val="000000"/>
                <w:sz w:val="18"/>
                <w:szCs w:val="18"/>
              </w:rPr>
              <w:t>%</w:t>
            </w:r>
          </w:p>
        </w:tc>
        <w:tc>
          <w:tcPr>
            <w:tcW w:w="883" w:type="dxa"/>
          </w:tcPr>
          <w:p w14:paraId="5C7DEDD5" w14:textId="2385AB65" w:rsidR="00DF3F44" w:rsidRPr="00051D8D" w:rsidRDefault="00DF3F44" w:rsidP="008C536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8"/>
                <w:szCs w:val="18"/>
              </w:rPr>
            </w:pPr>
            <w:r w:rsidRPr="00051D8D">
              <w:rPr>
                <w:rFonts w:ascii="Arial" w:hAnsi="Arial" w:cs="Arial"/>
                <w:b/>
                <w:bCs/>
                <w:color w:val="000000"/>
                <w:sz w:val="18"/>
                <w:szCs w:val="18"/>
              </w:rPr>
              <w:t>+</w:t>
            </w:r>
            <w:r w:rsidR="005B0011">
              <w:rPr>
                <w:rFonts w:ascii="Arial" w:hAnsi="Arial" w:cs="Arial"/>
                <w:b/>
                <w:bCs/>
                <w:color w:val="000000"/>
                <w:sz w:val="18"/>
                <w:szCs w:val="18"/>
              </w:rPr>
              <w:t>3.0</w:t>
            </w:r>
            <w:r w:rsidRPr="00051D8D">
              <w:rPr>
                <w:rFonts w:ascii="Arial" w:hAnsi="Arial" w:cs="Arial"/>
                <w:b/>
                <w:bCs/>
                <w:color w:val="000000"/>
                <w:sz w:val="18"/>
                <w:szCs w:val="18"/>
              </w:rPr>
              <w:t>%</w:t>
            </w:r>
          </w:p>
        </w:tc>
        <w:tc>
          <w:tcPr>
            <w:tcW w:w="883" w:type="dxa"/>
          </w:tcPr>
          <w:p w14:paraId="6619DA05" w14:textId="1AC02522" w:rsidR="00DF3F44" w:rsidRPr="00051D8D" w:rsidRDefault="00DF3F44" w:rsidP="008C536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51D8D">
              <w:rPr>
                <w:rFonts w:ascii="Arial" w:hAnsi="Arial" w:cs="Arial"/>
                <w:b/>
                <w:bCs/>
                <w:color w:val="000000"/>
                <w:sz w:val="18"/>
                <w:szCs w:val="18"/>
              </w:rPr>
              <w:t>+</w:t>
            </w:r>
            <w:r w:rsidR="00946529">
              <w:rPr>
                <w:rFonts w:ascii="Arial" w:hAnsi="Arial" w:cs="Arial"/>
                <w:b/>
                <w:bCs/>
                <w:color w:val="000000"/>
                <w:sz w:val="18"/>
                <w:szCs w:val="18"/>
              </w:rPr>
              <w:t>3.9</w:t>
            </w:r>
            <w:r w:rsidRPr="00051D8D">
              <w:rPr>
                <w:rFonts w:ascii="Arial" w:hAnsi="Arial" w:cs="Arial"/>
                <w:b/>
                <w:bCs/>
                <w:color w:val="000000"/>
                <w:sz w:val="18"/>
                <w:szCs w:val="18"/>
              </w:rPr>
              <w:t>%</w:t>
            </w:r>
          </w:p>
        </w:tc>
      </w:tr>
      <w:tr w:rsidR="008C536A" w14:paraId="7E0E0991" w14:textId="77777777" w:rsidTr="001C313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D9D9D9" w:themeFill="background1" w:themeFillShade="D9"/>
            <w:noWrap/>
            <w:vAlign w:val="center"/>
          </w:tcPr>
          <w:p w14:paraId="5D9434F7" w14:textId="0F2B7B36" w:rsidR="008C536A" w:rsidRPr="002E485B" w:rsidRDefault="008C536A" w:rsidP="008C536A">
            <w:pPr>
              <w:rPr>
                <w:rFonts w:ascii="Arial" w:eastAsia="Times New Roman" w:hAnsi="Arial" w:cs="Arial"/>
                <w:b w:val="0"/>
                <w:color w:val="000000" w:themeColor="text1"/>
                <w:sz w:val="18"/>
                <w:szCs w:val="18"/>
              </w:rPr>
            </w:pPr>
            <w:r w:rsidRPr="002E485B">
              <w:rPr>
                <w:rFonts w:ascii="Arial" w:hAnsi="Arial" w:cs="Arial"/>
                <w:b w:val="0"/>
                <w:color w:val="000000" w:themeColor="text1"/>
                <w:sz w:val="18"/>
                <w:szCs w:val="18"/>
              </w:rPr>
              <w:t>Fresh meat</w:t>
            </w:r>
          </w:p>
        </w:tc>
        <w:tc>
          <w:tcPr>
            <w:tcW w:w="882" w:type="dxa"/>
            <w:shd w:val="clear" w:color="auto" w:fill="D9D9D9" w:themeFill="background1" w:themeFillShade="D9"/>
            <w:vAlign w:val="bottom"/>
          </w:tcPr>
          <w:p w14:paraId="19C0C757" w14:textId="099A87CD" w:rsidR="008C536A" w:rsidRPr="002E485B"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Pr>
                <w:rFonts w:ascii="Arial" w:hAnsi="Arial" w:cs="Arial"/>
                <w:color w:val="000000"/>
                <w:sz w:val="18"/>
                <w:szCs w:val="18"/>
              </w:rPr>
              <w:t>$</w:t>
            </w:r>
            <w:r w:rsidR="005B0011">
              <w:rPr>
                <w:rFonts w:ascii="Arial" w:hAnsi="Arial" w:cs="Arial"/>
                <w:color w:val="000000"/>
                <w:sz w:val="18"/>
                <w:szCs w:val="18"/>
              </w:rPr>
              <w:t>6.1</w:t>
            </w:r>
            <w:r w:rsidRPr="002E485B">
              <w:rPr>
                <w:rFonts w:ascii="Arial" w:hAnsi="Arial" w:cs="Arial"/>
                <w:color w:val="000000"/>
                <w:sz w:val="18"/>
                <w:szCs w:val="18"/>
              </w:rPr>
              <w:t>B</w:t>
            </w:r>
          </w:p>
        </w:tc>
        <w:tc>
          <w:tcPr>
            <w:tcW w:w="853" w:type="dxa"/>
            <w:shd w:val="clear" w:color="auto" w:fill="D9D9D9" w:themeFill="background1" w:themeFillShade="D9"/>
          </w:tcPr>
          <w:p w14:paraId="13AC25C1" w14:textId="095B16C6" w:rsidR="008C536A" w:rsidRPr="002E485B"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007CC2">
              <w:rPr>
                <w:rFonts w:ascii="Arial" w:hAnsi="Arial" w:cs="Arial"/>
                <w:color w:val="000000"/>
                <w:sz w:val="18"/>
                <w:szCs w:val="18"/>
              </w:rPr>
              <w:t>+</w:t>
            </w:r>
            <w:r w:rsidR="005B0011">
              <w:rPr>
                <w:rFonts w:ascii="Arial" w:hAnsi="Arial" w:cs="Arial"/>
                <w:color w:val="000000"/>
                <w:sz w:val="18"/>
                <w:szCs w:val="18"/>
              </w:rPr>
              <w:t>8.3</w:t>
            </w:r>
            <w:r w:rsidRPr="00007CC2">
              <w:rPr>
                <w:rFonts w:ascii="Arial" w:hAnsi="Arial" w:cs="Arial"/>
                <w:color w:val="000000"/>
                <w:sz w:val="18"/>
                <w:szCs w:val="18"/>
              </w:rPr>
              <w:t>%</w:t>
            </w:r>
          </w:p>
        </w:tc>
        <w:tc>
          <w:tcPr>
            <w:tcW w:w="913" w:type="dxa"/>
            <w:shd w:val="clear" w:color="auto" w:fill="D9D9D9" w:themeFill="background1" w:themeFillShade="D9"/>
          </w:tcPr>
          <w:p w14:paraId="4E312C16" w14:textId="2A8D13DA" w:rsidR="008C536A" w:rsidRPr="002E485B"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07CC2">
              <w:rPr>
                <w:rFonts w:ascii="Arial" w:hAnsi="Arial" w:cs="Arial"/>
                <w:color w:val="000000"/>
                <w:sz w:val="18"/>
                <w:szCs w:val="18"/>
              </w:rPr>
              <w:t>+</w:t>
            </w:r>
            <w:r w:rsidR="005B0011">
              <w:rPr>
                <w:rFonts w:ascii="Arial" w:hAnsi="Arial" w:cs="Arial"/>
                <w:color w:val="000000"/>
                <w:sz w:val="18"/>
                <w:szCs w:val="18"/>
              </w:rPr>
              <w:t>13.3</w:t>
            </w:r>
            <w:r w:rsidRPr="00007CC2">
              <w:rPr>
                <w:rFonts w:ascii="Arial" w:hAnsi="Arial" w:cs="Arial"/>
                <w:color w:val="000000"/>
                <w:sz w:val="18"/>
                <w:szCs w:val="18"/>
              </w:rPr>
              <w:t>%</w:t>
            </w:r>
          </w:p>
        </w:tc>
        <w:tc>
          <w:tcPr>
            <w:tcW w:w="883" w:type="dxa"/>
            <w:shd w:val="clear" w:color="auto" w:fill="D9D9D9" w:themeFill="background1" w:themeFillShade="D9"/>
          </w:tcPr>
          <w:p w14:paraId="4F753310" w14:textId="00ECA715" w:rsidR="008C536A" w:rsidRPr="002E485B"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07CC2">
              <w:rPr>
                <w:rFonts w:ascii="Arial" w:hAnsi="Arial" w:cs="Arial"/>
                <w:color w:val="000000"/>
                <w:sz w:val="18"/>
                <w:szCs w:val="18"/>
              </w:rPr>
              <w:t>+</w:t>
            </w:r>
            <w:r w:rsidR="005B0011">
              <w:rPr>
                <w:rFonts w:ascii="Arial" w:hAnsi="Arial" w:cs="Arial"/>
                <w:color w:val="000000"/>
                <w:sz w:val="18"/>
                <w:szCs w:val="18"/>
              </w:rPr>
              <w:t>3.0</w:t>
            </w:r>
            <w:r w:rsidRPr="00007CC2">
              <w:rPr>
                <w:rFonts w:ascii="Arial" w:hAnsi="Arial" w:cs="Arial"/>
                <w:color w:val="000000"/>
                <w:sz w:val="18"/>
                <w:szCs w:val="18"/>
              </w:rPr>
              <w:t>%</w:t>
            </w:r>
          </w:p>
        </w:tc>
        <w:tc>
          <w:tcPr>
            <w:tcW w:w="882" w:type="dxa"/>
            <w:tcBorders>
              <w:right w:val="single" w:sz="4" w:space="0" w:color="1F497D" w:themeColor="text2"/>
            </w:tcBorders>
            <w:shd w:val="clear" w:color="auto" w:fill="D9D9D9" w:themeFill="background1" w:themeFillShade="D9"/>
          </w:tcPr>
          <w:p w14:paraId="5E34DC4E" w14:textId="769D34F0" w:rsidR="008C536A" w:rsidRPr="002E485B" w:rsidRDefault="008C536A" w:rsidP="008C536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07CC2">
              <w:rPr>
                <w:rFonts w:ascii="Arial" w:hAnsi="Arial" w:cs="Arial"/>
                <w:color w:val="000000"/>
                <w:sz w:val="18"/>
                <w:szCs w:val="18"/>
              </w:rPr>
              <w:t>+</w:t>
            </w:r>
            <w:r w:rsidR="005B0011">
              <w:rPr>
                <w:rFonts w:ascii="Arial" w:hAnsi="Arial" w:cs="Arial"/>
                <w:color w:val="000000"/>
                <w:sz w:val="18"/>
                <w:szCs w:val="18"/>
              </w:rPr>
              <w:t>4.0</w:t>
            </w:r>
            <w:r w:rsidRPr="00007CC2">
              <w:rPr>
                <w:rFonts w:ascii="Arial" w:hAnsi="Arial" w:cs="Arial"/>
                <w:color w:val="000000"/>
                <w:sz w:val="18"/>
                <w:szCs w:val="18"/>
              </w:rPr>
              <w:t>%</w:t>
            </w:r>
          </w:p>
        </w:tc>
        <w:tc>
          <w:tcPr>
            <w:tcW w:w="832" w:type="dxa"/>
            <w:tcBorders>
              <w:left w:val="single" w:sz="4" w:space="0" w:color="1F497D" w:themeColor="text2"/>
            </w:tcBorders>
            <w:shd w:val="clear" w:color="auto" w:fill="D9D9D9" w:themeFill="background1" w:themeFillShade="D9"/>
          </w:tcPr>
          <w:p w14:paraId="2CF480F7" w14:textId="1367B2BD" w:rsidR="008C536A" w:rsidRPr="002E485B" w:rsidRDefault="008C536A" w:rsidP="008C536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07CC2">
              <w:rPr>
                <w:rFonts w:ascii="Arial" w:hAnsi="Arial" w:cs="Arial"/>
                <w:color w:val="000000"/>
                <w:sz w:val="18"/>
                <w:szCs w:val="18"/>
              </w:rPr>
              <w:t>+</w:t>
            </w:r>
            <w:r w:rsidR="005B0011">
              <w:rPr>
                <w:rFonts w:ascii="Arial" w:hAnsi="Arial" w:cs="Arial"/>
                <w:color w:val="000000"/>
                <w:sz w:val="18"/>
                <w:szCs w:val="18"/>
              </w:rPr>
              <w:t>8.9</w:t>
            </w:r>
            <w:r w:rsidRPr="00007CC2">
              <w:rPr>
                <w:rFonts w:ascii="Arial" w:hAnsi="Arial" w:cs="Arial"/>
                <w:color w:val="000000"/>
                <w:sz w:val="18"/>
                <w:szCs w:val="18"/>
              </w:rPr>
              <w:t>%</w:t>
            </w:r>
          </w:p>
        </w:tc>
        <w:tc>
          <w:tcPr>
            <w:tcW w:w="934" w:type="dxa"/>
            <w:shd w:val="clear" w:color="auto" w:fill="D9D9D9" w:themeFill="background1" w:themeFillShade="D9"/>
          </w:tcPr>
          <w:p w14:paraId="3B045B66" w14:textId="69291588" w:rsidR="008C536A" w:rsidRPr="002E485B" w:rsidRDefault="008C536A" w:rsidP="008C536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07CC2">
              <w:rPr>
                <w:rFonts w:ascii="Arial" w:hAnsi="Arial" w:cs="Arial"/>
                <w:color w:val="000000"/>
                <w:sz w:val="18"/>
                <w:szCs w:val="18"/>
              </w:rPr>
              <w:t>+</w:t>
            </w:r>
            <w:r w:rsidR="005B0011">
              <w:rPr>
                <w:rFonts w:ascii="Arial" w:hAnsi="Arial" w:cs="Arial"/>
                <w:color w:val="000000"/>
                <w:sz w:val="18"/>
                <w:szCs w:val="18"/>
              </w:rPr>
              <w:t>13.6</w:t>
            </w:r>
            <w:r w:rsidRPr="00007CC2">
              <w:rPr>
                <w:rFonts w:ascii="Arial" w:hAnsi="Arial" w:cs="Arial"/>
                <w:color w:val="000000"/>
                <w:sz w:val="18"/>
                <w:szCs w:val="18"/>
              </w:rPr>
              <w:t>%</w:t>
            </w:r>
          </w:p>
        </w:tc>
        <w:tc>
          <w:tcPr>
            <w:tcW w:w="883" w:type="dxa"/>
            <w:shd w:val="clear" w:color="auto" w:fill="D9D9D9" w:themeFill="background1" w:themeFillShade="D9"/>
          </w:tcPr>
          <w:p w14:paraId="31331F76" w14:textId="3195A336" w:rsidR="008C536A" w:rsidRPr="002E485B" w:rsidRDefault="008C536A" w:rsidP="008C536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007CC2">
              <w:rPr>
                <w:rFonts w:ascii="Arial" w:hAnsi="Arial" w:cs="Arial"/>
                <w:color w:val="000000"/>
                <w:sz w:val="18"/>
                <w:szCs w:val="18"/>
              </w:rPr>
              <w:t>+</w:t>
            </w:r>
            <w:r w:rsidR="005B0011">
              <w:rPr>
                <w:rFonts w:ascii="Arial" w:hAnsi="Arial" w:cs="Arial"/>
                <w:color w:val="000000"/>
                <w:sz w:val="18"/>
                <w:szCs w:val="18"/>
              </w:rPr>
              <w:t>4.2</w:t>
            </w:r>
            <w:r w:rsidRPr="00007CC2">
              <w:rPr>
                <w:rFonts w:ascii="Arial" w:hAnsi="Arial" w:cs="Arial"/>
                <w:color w:val="000000"/>
                <w:sz w:val="18"/>
                <w:szCs w:val="18"/>
              </w:rPr>
              <w:t>%</w:t>
            </w:r>
          </w:p>
        </w:tc>
        <w:tc>
          <w:tcPr>
            <w:tcW w:w="883" w:type="dxa"/>
            <w:shd w:val="clear" w:color="auto" w:fill="D9D9D9" w:themeFill="background1" w:themeFillShade="D9"/>
          </w:tcPr>
          <w:p w14:paraId="114ACFAE" w14:textId="342DA70E" w:rsidR="008C536A" w:rsidRPr="002E485B" w:rsidRDefault="008C536A" w:rsidP="008C536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07CC2">
              <w:rPr>
                <w:rFonts w:ascii="Arial" w:hAnsi="Arial" w:cs="Arial"/>
                <w:color w:val="000000"/>
                <w:sz w:val="18"/>
                <w:szCs w:val="18"/>
              </w:rPr>
              <w:t>+</w:t>
            </w:r>
            <w:r w:rsidR="00946529">
              <w:rPr>
                <w:rFonts w:ascii="Arial" w:hAnsi="Arial" w:cs="Arial"/>
                <w:color w:val="000000"/>
                <w:sz w:val="18"/>
                <w:szCs w:val="18"/>
              </w:rPr>
              <w:t>5.9</w:t>
            </w:r>
            <w:r w:rsidRPr="00007CC2">
              <w:rPr>
                <w:rFonts w:ascii="Arial" w:hAnsi="Arial" w:cs="Arial"/>
                <w:color w:val="000000"/>
                <w:sz w:val="18"/>
                <w:szCs w:val="18"/>
              </w:rPr>
              <w:t>%</w:t>
            </w:r>
          </w:p>
        </w:tc>
      </w:tr>
      <w:tr w:rsidR="008C536A" w14:paraId="5B87501B" w14:textId="77777777" w:rsidTr="001C3135">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tcPr>
          <w:p w14:paraId="7B920B30" w14:textId="4ED56659" w:rsidR="008C536A" w:rsidRPr="002E485B" w:rsidRDefault="008C536A" w:rsidP="008C536A">
            <w:pPr>
              <w:rPr>
                <w:rFonts w:ascii="Arial" w:eastAsia="Times New Roman" w:hAnsi="Arial" w:cs="Arial"/>
                <w:b w:val="0"/>
                <w:bCs w:val="0"/>
                <w:color w:val="000000" w:themeColor="text1"/>
                <w:sz w:val="18"/>
                <w:szCs w:val="18"/>
              </w:rPr>
            </w:pPr>
            <w:r w:rsidRPr="002E485B">
              <w:rPr>
                <w:rFonts w:ascii="Arial" w:hAnsi="Arial" w:cs="Arial"/>
                <w:b w:val="0"/>
                <w:color w:val="000000" w:themeColor="text1"/>
                <w:sz w:val="18"/>
                <w:szCs w:val="18"/>
              </w:rPr>
              <w:t>Processed meat</w:t>
            </w:r>
          </w:p>
        </w:tc>
        <w:tc>
          <w:tcPr>
            <w:tcW w:w="882" w:type="dxa"/>
            <w:vAlign w:val="bottom"/>
          </w:tcPr>
          <w:p w14:paraId="2CC43909" w14:textId="75EB589C" w:rsidR="008C536A" w:rsidRPr="002E485B"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Pr>
                <w:rFonts w:ascii="Arial" w:hAnsi="Arial" w:cs="Arial"/>
                <w:color w:val="000000"/>
                <w:sz w:val="18"/>
                <w:szCs w:val="18"/>
              </w:rPr>
              <w:t>$</w:t>
            </w:r>
            <w:r w:rsidR="005B0011">
              <w:rPr>
                <w:rFonts w:ascii="Arial" w:hAnsi="Arial" w:cs="Arial"/>
                <w:color w:val="000000"/>
                <w:sz w:val="18"/>
                <w:szCs w:val="18"/>
              </w:rPr>
              <w:t>2.5</w:t>
            </w:r>
            <w:r w:rsidRPr="002E485B">
              <w:rPr>
                <w:rFonts w:ascii="Arial" w:hAnsi="Arial" w:cs="Arial"/>
                <w:color w:val="000000"/>
                <w:sz w:val="18"/>
                <w:szCs w:val="18"/>
              </w:rPr>
              <w:t>B</w:t>
            </w:r>
          </w:p>
        </w:tc>
        <w:tc>
          <w:tcPr>
            <w:tcW w:w="853" w:type="dxa"/>
          </w:tcPr>
          <w:p w14:paraId="7ECCC6D6" w14:textId="1307BF46" w:rsidR="008C536A" w:rsidRPr="002E485B"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07CC2">
              <w:rPr>
                <w:rFonts w:ascii="Arial" w:hAnsi="Arial" w:cs="Arial"/>
                <w:color w:val="000000"/>
                <w:sz w:val="18"/>
                <w:szCs w:val="18"/>
              </w:rPr>
              <w:t>+</w:t>
            </w:r>
            <w:r w:rsidR="005B0011">
              <w:rPr>
                <w:rFonts w:ascii="Arial" w:hAnsi="Arial" w:cs="Arial"/>
                <w:color w:val="000000"/>
                <w:sz w:val="18"/>
                <w:szCs w:val="18"/>
              </w:rPr>
              <w:t>0.1</w:t>
            </w:r>
            <w:r w:rsidRPr="00007CC2">
              <w:rPr>
                <w:rFonts w:ascii="Arial" w:hAnsi="Arial" w:cs="Arial"/>
                <w:color w:val="000000"/>
                <w:sz w:val="18"/>
                <w:szCs w:val="18"/>
              </w:rPr>
              <w:t>%</w:t>
            </w:r>
          </w:p>
        </w:tc>
        <w:tc>
          <w:tcPr>
            <w:tcW w:w="913" w:type="dxa"/>
          </w:tcPr>
          <w:p w14:paraId="10F50545" w14:textId="362B7CD4" w:rsidR="008C536A" w:rsidRPr="002E485B"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07CC2">
              <w:rPr>
                <w:rFonts w:ascii="Arial" w:hAnsi="Arial" w:cs="Arial"/>
                <w:color w:val="000000"/>
                <w:sz w:val="18"/>
                <w:szCs w:val="18"/>
              </w:rPr>
              <w:t>+</w:t>
            </w:r>
            <w:r w:rsidR="005B0011">
              <w:rPr>
                <w:rFonts w:ascii="Arial" w:hAnsi="Arial" w:cs="Arial"/>
                <w:color w:val="000000"/>
                <w:sz w:val="18"/>
                <w:szCs w:val="18"/>
              </w:rPr>
              <w:t>0.7</w:t>
            </w:r>
            <w:r w:rsidRPr="00007CC2">
              <w:rPr>
                <w:rFonts w:ascii="Arial" w:hAnsi="Arial" w:cs="Arial"/>
                <w:color w:val="000000"/>
                <w:sz w:val="18"/>
                <w:szCs w:val="18"/>
              </w:rPr>
              <w:t>%</w:t>
            </w:r>
          </w:p>
        </w:tc>
        <w:tc>
          <w:tcPr>
            <w:tcW w:w="883" w:type="dxa"/>
          </w:tcPr>
          <w:p w14:paraId="22D7CF8E" w14:textId="66675880" w:rsidR="008C536A" w:rsidRPr="002E485B" w:rsidRDefault="005B0011"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-1.5</w:t>
            </w:r>
            <w:r w:rsidR="008C536A" w:rsidRPr="00007CC2">
              <w:rPr>
                <w:rFonts w:ascii="Arial" w:hAnsi="Arial" w:cs="Arial"/>
                <w:color w:val="000000"/>
                <w:sz w:val="18"/>
                <w:szCs w:val="18"/>
              </w:rPr>
              <w:t>%</w:t>
            </w:r>
          </w:p>
        </w:tc>
        <w:tc>
          <w:tcPr>
            <w:tcW w:w="882" w:type="dxa"/>
            <w:tcBorders>
              <w:right w:val="single" w:sz="4" w:space="0" w:color="1F497D" w:themeColor="text2"/>
            </w:tcBorders>
          </w:tcPr>
          <w:p w14:paraId="4C4249DC" w14:textId="020E7B4D" w:rsidR="008C536A" w:rsidRPr="002E485B" w:rsidRDefault="005B0011" w:rsidP="008C536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-2.9</w:t>
            </w:r>
            <w:r w:rsidR="008C536A" w:rsidRPr="00007CC2">
              <w:rPr>
                <w:rFonts w:ascii="Arial" w:hAnsi="Arial" w:cs="Arial"/>
                <w:color w:val="000000"/>
                <w:sz w:val="18"/>
                <w:szCs w:val="18"/>
              </w:rPr>
              <w:t>%</w:t>
            </w:r>
          </w:p>
        </w:tc>
        <w:tc>
          <w:tcPr>
            <w:tcW w:w="832" w:type="dxa"/>
            <w:tcBorders>
              <w:left w:val="single" w:sz="4" w:space="0" w:color="1F497D" w:themeColor="text2"/>
            </w:tcBorders>
          </w:tcPr>
          <w:p w14:paraId="26185D82" w14:textId="78903071" w:rsidR="008C536A" w:rsidRPr="002E485B" w:rsidRDefault="008C536A" w:rsidP="008C536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07CC2">
              <w:rPr>
                <w:rFonts w:ascii="Arial" w:hAnsi="Arial" w:cs="Arial"/>
                <w:color w:val="000000"/>
                <w:sz w:val="18"/>
                <w:szCs w:val="18"/>
              </w:rPr>
              <w:t>+</w:t>
            </w:r>
            <w:r w:rsidR="005B0011">
              <w:rPr>
                <w:rFonts w:ascii="Arial" w:hAnsi="Arial" w:cs="Arial"/>
                <w:color w:val="000000"/>
                <w:sz w:val="18"/>
                <w:szCs w:val="18"/>
              </w:rPr>
              <w:t>1.1</w:t>
            </w:r>
            <w:r w:rsidRPr="00007CC2">
              <w:rPr>
                <w:rFonts w:ascii="Arial" w:hAnsi="Arial" w:cs="Arial"/>
                <w:color w:val="000000"/>
                <w:sz w:val="18"/>
                <w:szCs w:val="18"/>
              </w:rPr>
              <w:t>%</w:t>
            </w:r>
          </w:p>
        </w:tc>
        <w:tc>
          <w:tcPr>
            <w:tcW w:w="934" w:type="dxa"/>
          </w:tcPr>
          <w:p w14:paraId="0FC7FCE0" w14:textId="395A1A6D" w:rsidR="008C536A" w:rsidRPr="002E485B" w:rsidRDefault="005B0011" w:rsidP="008C536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-0.6</w:t>
            </w:r>
            <w:r w:rsidR="008C536A" w:rsidRPr="00007CC2">
              <w:rPr>
                <w:rFonts w:ascii="Arial" w:hAnsi="Arial" w:cs="Arial"/>
                <w:color w:val="000000"/>
                <w:sz w:val="18"/>
                <w:szCs w:val="18"/>
              </w:rPr>
              <w:t>%</w:t>
            </w:r>
          </w:p>
        </w:tc>
        <w:tc>
          <w:tcPr>
            <w:tcW w:w="883" w:type="dxa"/>
          </w:tcPr>
          <w:p w14:paraId="063CDD25" w14:textId="11CA2259" w:rsidR="008C536A" w:rsidRPr="002E485B" w:rsidRDefault="005B0011" w:rsidP="008C536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Pr>
                <w:rFonts w:ascii="Arial" w:hAnsi="Arial" w:cs="Arial"/>
                <w:color w:val="000000"/>
                <w:sz w:val="18"/>
                <w:szCs w:val="18"/>
              </w:rPr>
              <w:t>0.0</w:t>
            </w:r>
            <w:r w:rsidR="008C536A" w:rsidRPr="00007CC2">
              <w:rPr>
                <w:rFonts w:ascii="Arial" w:hAnsi="Arial" w:cs="Arial"/>
                <w:color w:val="000000"/>
                <w:sz w:val="18"/>
                <w:szCs w:val="18"/>
              </w:rPr>
              <w:t>%</w:t>
            </w:r>
          </w:p>
        </w:tc>
        <w:tc>
          <w:tcPr>
            <w:tcW w:w="883" w:type="dxa"/>
          </w:tcPr>
          <w:p w14:paraId="67FC77A8" w14:textId="1E442CDF" w:rsidR="008C536A" w:rsidRPr="002E485B" w:rsidRDefault="00946529" w:rsidP="008C536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-0.9</w:t>
            </w:r>
            <w:r w:rsidR="008C536A" w:rsidRPr="00007CC2">
              <w:rPr>
                <w:rFonts w:ascii="Arial" w:hAnsi="Arial" w:cs="Arial"/>
                <w:color w:val="000000"/>
                <w:sz w:val="18"/>
                <w:szCs w:val="18"/>
              </w:rPr>
              <w:t>%</w:t>
            </w:r>
          </w:p>
        </w:tc>
      </w:tr>
    </w:tbl>
    <w:p w14:paraId="4CDD88EB" w14:textId="77777777" w:rsidR="00F220D0" w:rsidRPr="008A1AD9" w:rsidRDefault="00F220D0" w:rsidP="00F220D0">
      <w:pPr>
        <w:pStyle w:val="NoSpacing"/>
        <w:rPr>
          <w:rFonts w:ascii="Arial" w:hAnsi="Arial" w:cs="Arial"/>
          <w:sz w:val="6"/>
          <w:szCs w:val="6"/>
        </w:rPr>
      </w:pPr>
    </w:p>
    <w:p w14:paraId="69DA7E14" w14:textId="19943CD3" w:rsidR="00F220D0" w:rsidRDefault="00F220D0" w:rsidP="00F220D0">
      <w:pPr>
        <w:pStyle w:val="NoSpacing"/>
        <w:rPr>
          <w:rFonts w:ascii="Arial" w:hAnsi="Arial" w:cs="Arial"/>
          <w:color w:val="7F7F7F" w:themeColor="text1" w:themeTint="80"/>
          <w:sz w:val="16"/>
          <w:szCs w:val="16"/>
        </w:rPr>
      </w:pPr>
      <w:r w:rsidRPr="00FE184C">
        <w:rPr>
          <w:rFonts w:ascii="Arial" w:hAnsi="Arial" w:cs="Arial"/>
          <w:color w:val="7F7F7F" w:themeColor="text1" w:themeTint="80"/>
          <w:sz w:val="16"/>
          <w:szCs w:val="16"/>
        </w:rPr>
        <w:t xml:space="preserve">Source: </w:t>
      </w:r>
      <w:proofErr w:type="spellStart"/>
      <w:r w:rsidR="00FB48FE" w:rsidRPr="00FE184C">
        <w:rPr>
          <w:rFonts w:ascii="Arial" w:hAnsi="Arial" w:cs="Arial"/>
          <w:color w:val="7F7F7F" w:themeColor="text1" w:themeTint="80"/>
          <w:sz w:val="16"/>
          <w:szCs w:val="16"/>
        </w:rPr>
        <w:t>Circana</w:t>
      </w:r>
      <w:proofErr w:type="spellEnd"/>
      <w:r w:rsidRPr="00FE184C">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4F24373D" w14:textId="77777777" w:rsidR="005632B3" w:rsidRDefault="005632B3" w:rsidP="00A13AC1">
      <w:pPr>
        <w:pStyle w:val="NoSpacing"/>
        <w:rPr>
          <w:rFonts w:ascii="Arial" w:hAnsi="Arial" w:cs="Arial"/>
          <w:color w:val="7F7F7F" w:themeColor="text1" w:themeTint="80"/>
          <w:sz w:val="16"/>
          <w:szCs w:val="16"/>
        </w:rPr>
      </w:pPr>
    </w:p>
    <w:p w14:paraId="1156C2AD" w14:textId="77777777" w:rsidR="000E3FC2" w:rsidRPr="005632B3" w:rsidRDefault="000E3FC2" w:rsidP="000E3FC2">
      <w:pPr>
        <w:pStyle w:val="NoSpacing"/>
        <w:rPr>
          <w:rFonts w:ascii="Arial" w:hAnsi="Arial" w:cs="Arial"/>
          <w:sz w:val="20"/>
          <w:szCs w:val="20"/>
        </w:rPr>
      </w:pPr>
      <w:r w:rsidRPr="005632B3">
        <w:rPr>
          <w:rFonts w:ascii="Arial" w:hAnsi="Arial" w:cs="Arial"/>
          <w:sz w:val="20"/>
          <w:szCs w:val="20"/>
        </w:rPr>
        <w:t>Meat department sales have been positive since the first quarter of 2024.</w:t>
      </w:r>
      <w:r>
        <w:rPr>
          <w:rFonts w:ascii="Arial" w:hAnsi="Arial" w:cs="Arial"/>
          <w:sz w:val="20"/>
          <w:szCs w:val="20"/>
        </w:rPr>
        <w:t xml:space="preserve">Second-quarter sales gains reached their highest levels since 2020, at +7.3%. Volume gains also reached the highest level since 2020, though it’s important to remember the switch in Easter timing that moved holiday-related sales from the first to the second quarter. </w:t>
      </w:r>
    </w:p>
    <w:p w14:paraId="45C24271" w14:textId="3B680CB5" w:rsidR="00A13AC1" w:rsidRDefault="00051D8D" w:rsidP="00A13AC1">
      <w:pPr>
        <w:pStyle w:val="NoSpacing"/>
        <w:rPr>
          <w:rFonts w:ascii="Arial" w:hAnsi="Arial" w:cs="Arial"/>
          <w:color w:val="7F7F7F" w:themeColor="text1" w:themeTint="80"/>
          <w:sz w:val="16"/>
          <w:szCs w:val="16"/>
        </w:rPr>
      </w:pPr>
      <w:r>
        <w:rPr>
          <w:rFonts w:ascii="Arial" w:hAnsi="Arial" w:cs="Arial"/>
          <w:b/>
          <w:noProof/>
          <w:color w:val="595959" w:themeColor="text1" w:themeTint="A6"/>
          <w:sz w:val="24"/>
          <w:szCs w:val="24"/>
          <w:lang w:val="nl-NL" w:eastAsia="nl-NL"/>
        </w:rPr>
        <w:drawing>
          <wp:anchor distT="0" distB="0" distL="114300" distR="114300" simplePos="0" relativeHeight="251658240" behindDoc="1" locked="0" layoutInCell="1" allowOverlap="1" wp14:anchorId="307F1A45" wp14:editId="1FCB2D85">
            <wp:simplePos x="0" y="0"/>
            <wp:positionH relativeFrom="page">
              <wp:posOffset>532130</wp:posOffset>
            </wp:positionH>
            <wp:positionV relativeFrom="paragraph">
              <wp:posOffset>157480</wp:posOffset>
            </wp:positionV>
            <wp:extent cx="6638925" cy="2774950"/>
            <wp:effectExtent l="0" t="0" r="9525" b="6350"/>
            <wp:wrapThrough wrapText="bothSides">
              <wp:wrapPolygon edited="0">
                <wp:start x="0" y="0"/>
                <wp:lineTo x="0" y="21501"/>
                <wp:lineTo x="21569" y="21501"/>
                <wp:lineTo x="21569" y="0"/>
                <wp:lineTo x="0" y="0"/>
              </wp:wrapPolygon>
            </wp:wrapThrough>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3F151B16" w14:textId="41A3B1E4" w:rsidR="00A13AC1" w:rsidRDefault="00A13AC1" w:rsidP="00A13AC1">
      <w:pPr>
        <w:pStyle w:val="NoSpacing"/>
        <w:rPr>
          <w:rFonts w:ascii="Arial" w:hAnsi="Arial" w:cs="Arial"/>
          <w:color w:val="7F7F7F" w:themeColor="text1" w:themeTint="80"/>
          <w:sz w:val="16"/>
          <w:szCs w:val="16"/>
        </w:rPr>
      </w:pPr>
    </w:p>
    <w:p w14:paraId="1D7CA44A" w14:textId="5B7A6A9F" w:rsidR="00125716" w:rsidRDefault="00125716">
      <w:pPr>
        <w:rPr>
          <w:rFonts w:ascii="Arial" w:hAnsi="Arial" w:cs="Arial"/>
          <w:color w:val="7F7F7F" w:themeColor="text1" w:themeTint="80"/>
          <w:sz w:val="16"/>
          <w:szCs w:val="16"/>
        </w:rPr>
      </w:pPr>
      <w:r>
        <w:rPr>
          <w:rFonts w:ascii="Arial" w:hAnsi="Arial" w:cs="Arial"/>
          <w:color w:val="7F7F7F" w:themeColor="text1" w:themeTint="80"/>
          <w:sz w:val="16"/>
          <w:szCs w:val="16"/>
        </w:rPr>
        <w:br w:type="page"/>
      </w:r>
    </w:p>
    <w:p w14:paraId="02594DA7" w14:textId="77777777" w:rsidR="00A13AC1" w:rsidRPr="00A13AC1" w:rsidRDefault="00A13AC1" w:rsidP="00A13AC1">
      <w:pPr>
        <w:pStyle w:val="NoSpacing"/>
        <w:rPr>
          <w:rFonts w:ascii="Arial" w:hAnsi="Arial" w:cs="Arial"/>
          <w:color w:val="7F7F7F" w:themeColor="text1" w:themeTint="80"/>
          <w:sz w:val="16"/>
          <w:szCs w:val="16"/>
        </w:rPr>
      </w:pPr>
    </w:p>
    <w:tbl>
      <w:tblPr>
        <w:tblStyle w:val="ListTable4"/>
        <w:tblpPr w:leftFromText="180" w:rightFromText="180" w:vertAnchor="text" w:tblpY="1"/>
        <w:tblW w:w="500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701"/>
        <w:gridCol w:w="927"/>
        <w:gridCol w:w="1017"/>
        <w:gridCol w:w="1364"/>
      </w:tblGrid>
      <w:tr w:rsidR="00297E8F" w:rsidRPr="00BB6906" w14:paraId="0A9E150B" w14:textId="77777777" w:rsidTr="00FE7C7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tcBorders>
            <w:shd w:val="clear" w:color="auto" w:fill="17365D" w:themeFill="text2" w:themeFillShade="BF"/>
            <w:vAlign w:val="center"/>
          </w:tcPr>
          <w:p w14:paraId="438C7FA0" w14:textId="77777777" w:rsidR="00297E8F" w:rsidRPr="00BB6906" w:rsidRDefault="00297E8F" w:rsidP="00FE7C73">
            <w:pPr>
              <w:pStyle w:val="NoSpacing"/>
              <w:rPr>
                <w:rFonts w:ascii="Arial" w:hAnsi="Arial" w:cs="Arial"/>
                <w:sz w:val="18"/>
                <w:szCs w:val="18"/>
              </w:rPr>
            </w:pPr>
            <w:bookmarkStart w:id="9" w:name="_Hlk190414613"/>
          </w:p>
        </w:tc>
        <w:tc>
          <w:tcPr>
            <w:tcW w:w="927" w:type="dxa"/>
            <w:tcBorders>
              <w:top w:val="none" w:sz="0" w:space="0" w:color="auto"/>
              <w:bottom w:val="none" w:sz="0" w:space="0" w:color="auto"/>
            </w:tcBorders>
            <w:shd w:val="clear" w:color="auto" w:fill="17365D" w:themeFill="text2" w:themeFillShade="BF"/>
          </w:tcPr>
          <w:p w14:paraId="0008FD30" w14:textId="77777777" w:rsidR="00297E8F"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Dollars</w:t>
            </w:r>
          </w:p>
        </w:tc>
        <w:tc>
          <w:tcPr>
            <w:tcW w:w="1017" w:type="dxa"/>
            <w:tcBorders>
              <w:top w:val="none" w:sz="0" w:space="0" w:color="auto"/>
              <w:bottom w:val="none" w:sz="0" w:space="0" w:color="auto"/>
            </w:tcBorders>
            <w:shd w:val="clear" w:color="auto" w:fill="17365D" w:themeFill="text2" w:themeFillShade="BF"/>
          </w:tcPr>
          <w:p w14:paraId="73E5C8AA" w14:textId="77777777" w:rsidR="00297E8F" w:rsidRPr="00BB6906"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vs. YA</w:t>
            </w:r>
          </w:p>
        </w:tc>
        <w:tc>
          <w:tcPr>
            <w:tcW w:w="1364" w:type="dxa"/>
            <w:tcBorders>
              <w:top w:val="none" w:sz="0" w:space="0" w:color="auto"/>
              <w:bottom w:val="none" w:sz="0" w:space="0" w:color="auto"/>
              <w:right w:val="none" w:sz="0" w:space="0" w:color="auto"/>
            </w:tcBorders>
            <w:shd w:val="clear" w:color="auto" w:fill="17365D" w:themeFill="text2" w:themeFillShade="BF"/>
          </w:tcPr>
          <w:p w14:paraId="515024BC" w14:textId="77777777" w:rsidR="00297E8F" w:rsidRPr="00BB6906"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Lbs</w:t>
            </w:r>
            <w:proofErr w:type="spellEnd"/>
            <w:r>
              <w:rPr>
                <w:rFonts w:ascii="Arial" w:hAnsi="Arial" w:cs="Arial"/>
                <w:sz w:val="18"/>
                <w:szCs w:val="18"/>
              </w:rPr>
              <w:t xml:space="preserve"> vs. YA</w:t>
            </w:r>
          </w:p>
        </w:tc>
      </w:tr>
      <w:tr w:rsidR="00DF3F44" w:rsidRPr="00FB41A2" w14:paraId="26D27FA9" w14:textId="77777777" w:rsidTr="00FD12D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D9A0B2E" w14:textId="11738FB1" w:rsidR="00DF3F44" w:rsidRPr="00DF3F44" w:rsidRDefault="000A2703" w:rsidP="00FD12D8">
            <w:pPr>
              <w:pStyle w:val="NoSpacing"/>
              <w:rPr>
                <w:rFonts w:ascii="Arial" w:hAnsi="Arial" w:cs="Arial"/>
                <w:color w:val="000000"/>
                <w:sz w:val="20"/>
                <w:szCs w:val="18"/>
              </w:rPr>
            </w:pPr>
            <w:r>
              <w:rPr>
                <w:rFonts w:ascii="Arial" w:hAnsi="Arial" w:cs="Arial"/>
                <w:color w:val="000000"/>
                <w:sz w:val="20"/>
              </w:rPr>
              <w:t>June</w:t>
            </w:r>
            <w:r w:rsidR="00686D69">
              <w:rPr>
                <w:rFonts w:ascii="Arial" w:hAnsi="Arial" w:cs="Arial"/>
                <w:color w:val="000000"/>
                <w:sz w:val="20"/>
              </w:rPr>
              <w:t xml:space="preserve"> </w:t>
            </w:r>
            <w:r w:rsidR="00DF3F44" w:rsidRPr="00DF3F44">
              <w:rPr>
                <w:rFonts w:ascii="Arial" w:hAnsi="Arial" w:cs="Arial"/>
                <w:color w:val="000000"/>
                <w:sz w:val="20"/>
              </w:rPr>
              <w:t>2025</w:t>
            </w:r>
          </w:p>
        </w:tc>
        <w:tc>
          <w:tcPr>
            <w:tcW w:w="927" w:type="dxa"/>
            <w:vAlign w:val="center"/>
          </w:tcPr>
          <w:p w14:paraId="49ABC8CA" w14:textId="7D11F566" w:rsidR="00DF3F44" w:rsidRPr="00DF3F44" w:rsidRDefault="00DF3F44" w:rsidP="00FD12D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18"/>
              </w:rPr>
            </w:pPr>
            <w:r w:rsidRPr="00DF3F44">
              <w:rPr>
                <w:rFonts w:ascii="Arial" w:hAnsi="Arial" w:cs="Arial"/>
                <w:b/>
                <w:color w:val="000000"/>
                <w:sz w:val="20"/>
              </w:rPr>
              <w:t>$</w:t>
            </w:r>
            <w:r w:rsidR="00E656F3">
              <w:rPr>
                <w:rFonts w:ascii="Arial" w:hAnsi="Arial" w:cs="Arial"/>
                <w:b/>
                <w:color w:val="000000"/>
                <w:sz w:val="20"/>
              </w:rPr>
              <w:t>8.6</w:t>
            </w:r>
            <w:r w:rsidRPr="00DF3F44">
              <w:rPr>
                <w:rFonts w:ascii="Arial" w:hAnsi="Arial" w:cs="Arial"/>
                <w:b/>
                <w:color w:val="000000"/>
                <w:sz w:val="20"/>
              </w:rPr>
              <w:t>B</w:t>
            </w:r>
          </w:p>
        </w:tc>
        <w:tc>
          <w:tcPr>
            <w:tcW w:w="1017" w:type="dxa"/>
            <w:vAlign w:val="center"/>
          </w:tcPr>
          <w:p w14:paraId="5E42C892" w14:textId="299289CB" w:rsidR="00DF3F44" w:rsidRPr="00DF3F44" w:rsidRDefault="00DF3F44" w:rsidP="00FD12D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18"/>
              </w:rPr>
            </w:pPr>
            <w:r w:rsidRPr="00DF3F44">
              <w:rPr>
                <w:rFonts w:ascii="Arial" w:hAnsi="Arial" w:cs="Arial"/>
                <w:b/>
                <w:color w:val="000000"/>
                <w:sz w:val="20"/>
              </w:rPr>
              <w:t>+</w:t>
            </w:r>
            <w:r w:rsidR="00E656F3">
              <w:rPr>
                <w:rFonts w:ascii="Arial" w:hAnsi="Arial" w:cs="Arial"/>
                <w:b/>
                <w:color w:val="000000"/>
                <w:sz w:val="20"/>
              </w:rPr>
              <w:t>5.8</w:t>
            </w:r>
            <w:r w:rsidR="00FD2223">
              <w:rPr>
                <w:rFonts w:ascii="Arial" w:hAnsi="Arial" w:cs="Arial"/>
                <w:b/>
                <w:color w:val="000000"/>
                <w:sz w:val="20"/>
              </w:rPr>
              <w:t>%</w:t>
            </w:r>
          </w:p>
        </w:tc>
        <w:tc>
          <w:tcPr>
            <w:tcW w:w="1364" w:type="dxa"/>
            <w:vAlign w:val="center"/>
          </w:tcPr>
          <w:p w14:paraId="4315650D" w14:textId="5768AE84" w:rsidR="00DF3F44" w:rsidRPr="00DF3F44" w:rsidRDefault="00D07BDF" w:rsidP="00FD12D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18"/>
              </w:rPr>
            </w:pPr>
            <w:r>
              <w:rPr>
                <w:rFonts w:ascii="Arial" w:hAnsi="Arial" w:cs="Arial"/>
                <w:b/>
                <w:color w:val="000000"/>
                <w:sz w:val="20"/>
              </w:rPr>
              <w:t>+</w:t>
            </w:r>
            <w:r w:rsidR="00E656F3">
              <w:rPr>
                <w:rFonts w:ascii="Arial" w:hAnsi="Arial" w:cs="Arial"/>
                <w:b/>
                <w:color w:val="000000"/>
                <w:sz w:val="20"/>
              </w:rPr>
              <w:t>1.7</w:t>
            </w:r>
            <w:r w:rsidR="00DF3F44" w:rsidRPr="00DF3F44">
              <w:rPr>
                <w:rFonts w:ascii="Arial" w:hAnsi="Arial" w:cs="Arial"/>
                <w:b/>
                <w:color w:val="000000"/>
                <w:sz w:val="20"/>
              </w:rPr>
              <w:t>%</w:t>
            </w:r>
          </w:p>
        </w:tc>
      </w:tr>
      <w:tr w:rsidR="00EC1479" w:rsidRPr="00FB41A2" w14:paraId="23C5AE97" w14:textId="77777777" w:rsidTr="00FD12D8">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4784B5C" w14:textId="76851E23" w:rsidR="00EC1479" w:rsidRPr="00DF3F44" w:rsidRDefault="00EC1479" w:rsidP="00EC1479">
            <w:pPr>
              <w:pStyle w:val="NoSpacing"/>
              <w:rPr>
                <w:rFonts w:ascii="Arial" w:hAnsi="Arial" w:cs="Arial"/>
                <w:b w:val="0"/>
                <w:bCs w:val="0"/>
                <w:color w:val="000000" w:themeColor="text1"/>
                <w:sz w:val="20"/>
                <w:szCs w:val="18"/>
              </w:rPr>
            </w:pPr>
            <w:proofErr w:type="spellStart"/>
            <w:r>
              <w:rPr>
                <w:rFonts w:ascii="Arial" w:hAnsi="Arial" w:cs="Arial"/>
                <w:b w:val="0"/>
                <w:bCs w:val="0"/>
                <w:color w:val="000000"/>
                <w:sz w:val="20"/>
              </w:rPr>
              <w:t>w.e</w:t>
            </w:r>
            <w:proofErr w:type="spellEnd"/>
            <w:r>
              <w:rPr>
                <w:rFonts w:ascii="Arial" w:hAnsi="Arial" w:cs="Arial"/>
                <w:b w:val="0"/>
                <w:bCs w:val="0"/>
                <w:color w:val="000000"/>
                <w:sz w:val="20"/>
              </w:rPr>
              <w:t>. 06-08</w:t>
            </w:r>
            <w:r w:rsidRPr="00DF3F44">
              <w:rPr>
                <w:rFonts w:ascii="Arial" w:hAnsi="Arial" w:cs="Arial"/>
                <w:b w:val="0"/>
                <w:bCs w:val="0"/>
                <w:color w:val="000000"/>
                <w:sz w:val="20"/>
              </w:rPr>
              <w:t>-25</w:t>
            </w:r>
          </w:p>
        </w:tc>
        <w:tc>
          <w:tcPr>
            <w:tcW w:w="927" w:type="dxa"/>
            <w:vAlign w:val="center"/>
          </w:tcPr>
          <w:p w14:paraId="45F007E0" w14:textId="4828EE84" w:rsidR="00EC1479" w:rsidRPr="00DF3F4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E656F3">
              <w:rPr>
                <w:rFonts w:ascii="Arial" w:hAnsi="Arial" w:cs="Arial"/>
                <w:color w:val="000000"/>
                <w:sz w:val="20"/>
              </w:rPr>
              <w:t>2.2</w:t>
            </w:r>
            <w:r w:rsidRPr="00DF3F44">
              <w:rPr>
                <w:rFonts w:ascii="Arial" w:hAnsi="Arial" w:cs="Arial"/>
                <w:color w:val="000000"/>
                <w:sz w:val="20"/>
              </w:rPr>
              <w:t>B</w:t>
            </w:r>
          </w:p>
        </w:tc>
        <w:tc>
          <w:tcPr>
            <w:tcW w:w="1017" w:type="dxa"/>
            <w:vAlign w:val="center"/>
          </w:tcPr>
          <w:p w14:paraId="246AF52B" w14:textId="370178A1" w:rsidR="00EC1479" w:rsidRPr="00DF3F4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E656F3">
              <w:rPr>
                <w:rFonts w:ascii="Arial" w:hAnsi="Arial" w:cs="Arial"/>
                <w:color w:val="000000"/>
                <w:sz w:val="20"/>
              </w:rPr>
              <w:t>5.7</w:t>
            </w:r>
            <w:r w:rsidRPr="009E6371">
              <w:rPr>
                <w:rFonts w:ascii="Arial" w:hAnsi="Arial" w:cs="Arial"/>
                <w:color w:val="000000"/>
                <w:sz w:val="20"/>
              </w:rPr>
              <w:t>%</w:t>
            </w:r>
          </w:p>
        </w:tc>
        <w:tc>
          <w:tcPr>
            <w:tcW w:w="1364" w:type="dxa"/>
            <w:vAlign w:val="center"/>
          </w:tcPr>
          <w:p w14:paraId="364C2F77" w14:textId="0B482C48" w:rsidR="00EC1479" w:rsidRPr="00DF3F4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E656F3">
              <w:rPr>
                <w:rFonts w:ascii="Arial" w:hAnsi="Arial" w:cs="Arial"/>
                <w:color w:val="000000"/>
                <w:sz w:val="20"/>
              </w:rPr>
              <w:t>1.9</w:t>
            </w:r>
            <w:r w:rsidRPr="00DF3F44">
              <w:rPr>
                <w:rFonts w:ascii="Arial" w:hAnsi="Arial" w:cs="Arial"/>
                <w:color w:val="000000"/>
                <w:sz w:val="20"/>
              </w:rPr>
              <w:t>%</w:t>
            </w:r>
          </w:p>
        </w:tc>
      </w:tr>
      <w:tr w:rsidR="00EC1479" w:rsidRPr="00FB41A2" w14:paraId="2BE079E9" w14:textId="77777777" w:rsidTr="00FD12D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23E4C37" w14:textId="02D3F8AC" w:rsidR="00EC1479" w:rsidRPr="00DF3F44" w:rsidRDefault="00EC1479" w:rsidP="00EC1479">
            <w:pPr>
              <w:pStyle w:val="NoSpacing"/>
              <w:rPr>
                <w:rFonts w:ascii="Arial" w:hAnsi="Arial" w:cs="Arial"/>
                <w:b w:val="0"/>
                <w:bCs w:val="0"/>
                <w:color w:val="000000"/>
                <w:sz w:val="20"/>
                <w:szCs w:val="18"/>
              </w:rPr>
            </w:pPr>
            <w:proofErr w:type="spellStart"/>
            <w:r>
              <w:rPr>
                <w:rFonts w:ascii="Arial" w:hAnsi="Arial" w:cs="Arial"/>
                <w:b w:val="0"/>
                <w:bCs w:val="0"/>
                <w:color w:val="000000"/>
                <w:sz w:val="20"/>
              </w:rPr>
              <w:t>w.e</w:t>
            </w:r>
            <w:proofErr w:type="spellEnd"/>
            <w:r>
              <w:rPr>
                <w:rFonts w:ascii="Arial" w:hAnsi="Arial" w:cs="Arial"/>
                <w:b w:val="0"/>
                <w:bCs w:val="0"/>
                <w:color w:val="000000"/>
                <w:sz w:val="20"/>
              </w:rPr>
              <w:t>. 06-15</w:t>
            </w:r>
            <w:r w:rsidRPr="00DF3F44">
              <w:rPr>
                <w:rFonts w:ascii="Arial" w:hAnsi="Arial" w:cs="Arial"/>
                <w:b w:val="0"/>
                <w:bCs w:val="0"/>
                <w:color w:val="000000"/>
                <w:sz w:val="20"/>
              </w:rPr>
              <w:t>-25</w:t>
            </w:r>
          </w:p>
        </w:tc>
        <w:tc>
          <w:tcPr>
            <w:tcW w:w="927" w:type="dxa"/>
            <w:vAlign w:val="center"/>
          </w:tcPr>
          <w:p w14:paraId="6AFEB218" w14:textId="30A232A2" w:rsidR="00EC1479" w:rsidRPr="00DF3F4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E656F3">
              <w:rPr>
                <w:rFonts w:ascii="Arial" w:hAnsi="Arial" w:cs="Arial"/>
                <w:color w:val="000000"/>
                <w:sz w:val="20"/>
              </w:rPr>
              <w:t>2.2</w:t>
            </w:r>
            <w:r w:rsidRPr="00DF3F44">
              <w:rPr>
                <w:rFonts w:ascii="Arial" w:hAnsi="Arial" w:cs="Arial"/>
                <w:color w:val="000000"/>
                <w:sz w:val="20"/>
              </w:rPr>
              <w:t>B</w:t>
            </w:r>
          </w:p>
        </w:tc>
        <w:tc>
          <w:tcPr>
            <w:tcW w:w="1017" w:type="dxa"/>
            <w:vAlign w:val="center"/>
          </w:tcPr>
          <w:p w14:paraId="480333EF" w14:textId="7C06483F" w:rsidR="00EC1479" w:rsidRPr="00DF3F4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E656F3">
              <w:rPr>
                <w:rFonts w:ascii="Arial" w:hAnsi="Arial" w:cs="Arial"/>
                <w:color w:val="000000"/>
                <w:sz w:val="20"/>
              </w:rPr>
              <w:t>6.6</w:t>
            </w:r>
            <w:r w:rsidRPr="009E6371">
              <w:rPr>
                <w:rFonts w:ascii="Arial" w:hAnsi="Arial" w:cs="Arial"/>
                <w:color w:val="000000"/>
                <w:sz w:val="20"/>
              </w:rPr>
              <w:t>%</w:t>
            </w:r>
          </w:p>
        </w:tc>
        <w:tc>
          <w:tcPr>
            <w:tcW w:w="1364" w:type="dxa"/>
            <w:vAlign w:val="center"/>
          </w:tcPr>
          <w:p w14:paraId="3DEC4359" w14:textId="791FE63B" w:rsidR="00EC1479" w:rsidRPr="00DF3F4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E656F3">
              <w:rPr>
                <w:rFonts w:ascii="Arial" w:hAnsi="Arial" w:cs="Arial"/>
                <w:color w:val="000000"/>
                <w:sz w:val="20"/>
              </w:rPr>
              <w:t>2.8</w:t>
            </w:r>
            <w:r w:rsidRPr="00DF3F44">
              <w:rPr>
                <w:rFonts w:ascii="Arial" w:hAnsi="Arial" w:cs="Arial"/>
                <w:color w:val="000000"/>
                <w:sz w:val="20"/>
              </w:rPr>
              <w:t>%</w:t>
            </w:r>
          </w:p>
        </w:tc>
      </w:tr>
      <w:tr w:rsidR="00EC1479" w:rsidRPr="00FB41A2" w14:paraId="169C4DE3" w14:textId="77777777" w:rsidTr="00FD12D8">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1C79FD5" w14:textId="193FBCF5" w:rsidR="00EC1479" w:rsidRPr="00DF3F44" w:rsidRDefault="00EC1479" w:rsidP="00EC1479">
            <w:pPr>
              <w:pStyle w:val="NoSpacing"/>
              <w:rPr>
                <w:rFonts w:ascii="Arial" w:hAnsi="Arial" w:cs="Arial"/>
                <w:b w:val="0"/>
                <w:bCs w:val="0"/>
                <w:color w:val="000000" w:themeColor="text1"/>
                <w:sz w:val="20"/>
                <w:szCs w:val="18"/>
              </w:rPr>
            </w:pPr>
            <w:proofErr w:type="spellStart"/>
            <w:r>
              <w:rPr>
                <w:rFonts w:ascii="Arial" w:hAnsi="Arial" w:cs="Arial"/>
                <w:b w:val="0"/>
                <w:bCs w:val="0"/>
                <w:color w:val="000000"/>
                <w:sz w:val="20"/>
              </w:rPr>
              <w:t>w.e</w:t>
            </w:r>
            <w:proofErr w:type="spellEnd"/>
            <w:r>
              <w:rPr>
                <w:rFonts w:ascii="Arial" w:hAnsi="Arial" w:cs="Arial"/>
                <w:b w:val="0"/>
                <w:bCs w:val="0"/>
                <w:color w:val="000000"/>
                <w:sz w:val="20"/>
              </w:rPr>
              <w:t>. 06-22</w:t>
            </w:r>
            <w:r w:rsidRPr="00DF3F44">
              <w:rPr>
                <w:rFonts w:ascii="Arial" w:hAnsi="Arial" w:cs="Arial"/>
                <w:b w:val="0"/>
                <w:bCs w:val="0"/>
                <w:color w:val="000000"/>
                <w:sz w:val="20"/>
              </w:rPr>
              <w:t>-25</w:t>
            </w:r>
          </w:p>
        </w:tc>
        <w:tc>
          <w:tcPr>
            <w:tcW w:w="927" w:type="dxa"/>
            <w:vAlign w:val="center"/>
          </w:tcPr>
          <w:p w14:paraId="124BAB70" w14:textId="0BFCE396" w:rsidR="00EC1479" w:rsidRPr="00DF3F4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E656F3">
              <w:rPr>
                <w:rFonts w:ascii="Arial" w:hAnsi="Arial" w:cs="Arial"/>
                <w:color w:val="000000"/>
                <w:sz w:val="20"/>
              </w:rPr>
              <w:t>2.1</w:t>
            </w:r>
            <w:r w:rsidRPr="00DF3F44">
              <w:rPr>
                <w:rFonts w:ascii="Arial" w:hAnsi="Arial" w:cs="Arial"/>
                <w:color w:val="000000"/>
                <w:sz w:val="20"/>
              </w:rPr>
              <w:t>B</w:t>
            </w:r>
          </w:p>
        </w:tc>
        <w:tc>
          <w:tcPr>
            <w:tcW w:w="1017" w:type="dxa"/>
            <w:vAlign w:val="center"/>
          </w:tcPr>
          <w:p w14:paraId="7BFCA14E" w14:textId="73CEB77B" w:rsidR="00EC1479" w:rsidRPr="00DF3F4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E656F3">
              <w:rPr>
                <w:rFonts w:ascii="Arial" w:hAnsi="Arial" w:cs="Arial"/>
                <w:color w:val="000000"/>
                <w:sz w:val="20"/>
              </w:rPr>
              <w:t>7.7</w:t>
            </w:r>
            <w:r w:rsidRPr="009E6371">
              <w:rPr>
                <w:rFonts w:ascii="Arial" w:hAnsi="Arial" w:cs="Arial"/>
                <w:color w:val="000000"/>
                <w:sz w:val="20"/>
              </w:rPr>
              <w:t>%</w:t>
            </w:r>
          </w:p>
        </w:tc>
        <w:tc>
          <w:tcPr>
            <w:tcW w:w="1364" w:type="dxa"/>
            <w:vAlign w:val="center"/>
          </w:tcPr>
          <w:p w14:paraId="25C52154" w14:textId="040A9BB4" w:rsidR="00EC1479" w:rsidRPr="00DF3F4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E656F3">
              <w:rPr>
                <w:rFonts w:ascii="Arial" w:hAnsi="Arial" w:cs="Arial"/>
                <w:color w:val="000000"/>
                <w:sz w:val="20"/>
              </w:rPr>
              <w:t>3.6</w:t>
            </w:r>
            <w:r w:rsidRPr="00DF3F44">
              <w:rPr>
                <w:rFonts w:ascii="Arial" w:hAnsi="Arial" w:cs="Arial"/>
                <w:color w:val="000000"/>
                <w:sz w:val="20"/>
              </w:rPr>
              <w:t>%</w:t>
            </w:r>
          </w:p>
        </w:tc>
      </w:tr>
      <w:tr w:rsidR="00EC1479" w:rsidRPr="00FB41A2" w14:paraId="5390419F" w14:textId="77777777" w:rsidTr="00FD12D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564C40D" w14:textId="2B876E41" w:rsidR="00EC1479" w:rsidRPr="00DF3F44" w:rsidRDefault="00EC1479" w:rsidP="00EC1479">
            <w:pPr>
              <w:pStyle w:val="NoSpacing"/>
              <w:rPr>
                <w:rFonts w:ascii="Arial" w:hAnsi="Arial" w:cs="Arial"/>
                <w:b w:val="0"/>
                <w:bCs w:val="0"/>
                <w:color w:val="000000" w:themeColor="text1"/>
                <w:sz w:val="20"/>
                <w:szCs w:val="18"/>
              </w:rPr>
            </w:pPr>
            <w:proofErr w:type="spellStart"/>
            <w:r>
              <w:rPr>
                <w:rFonts w:ascii="Arial" w:hAnsi="Arial" w:cs="Arial"/>
                <w:b w:val="0"/>
                <w:bCs w:val="0"/>
                <w:color w:val="000000"/>
                <w:sz w:val="20"/>
              </w:rPr>
              <w:t>w.e</w:t>
            </w:r>
            <w:proofErr w:type="spellEnd"/>
            <w:r>
              <w:rPr>
                <w:rFonts w:ascii="Arial" w:hAnsi="Arial" w:cs="Arial"/>
                <w:b w:val="0"/>
                <w:bCs w:val="0"/>
                <w:color w:val="000000"/>
                <w:sz w:val="20"/>
              </w:rPr>
              <w:t>. 06-29</w:t>
            </w:r>
            <w:r w:rsidRPr="00DF3F44">
              <w:rPr>
                <w:rFonts w:ascii="Arial" w:hAnsi="Arial" w:cs="Arial"/>
                <w:b w:val="0"/>
                <w:bCs w:val="0"/>
                <w:color w:val="000000"/>
                <w:sz w:val="20"/>
              </w:rPr>
              <w:t>-25</w:t>
            </w:r>
          </w:p>
        </w:tc>
        <w:tc>
          <w:tcPr>
            <w:tcW w:w="927" w:type="dxa"/>
            <w:vAlign w:val="center"/>
          </w:tcPr>
          <w:p w14:paraId="05C1DE40" w14:textId="684A4660" w:rsidR="00EC1479" w:rsidRPr="00DF3F4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E656F3">
              <w:rPr>
                <w:rFonts w:ascii="Arial" w:hAnsi="Arial" w:cs="Arial"/>
                <w:color w:val="000000"/>
                <w:sz w:val="20"/>
              </w:rPr>
              <w:t>2.1</w:t>
            </w:r>
            <w:r w:rsidRPr="00DF3F44">
              <w:rPr>
                <w:rFonts w:ascii="Arial" w:hAnsi="Arial" w:cs="Arial"/>
                <w:color w:val="000000"/>
                <w:sz w:val="20"/>
              </w:rPr>
              <w:t>B</w:t>
            </w:r>
          </w:p>
        </w:tc>
        <w:tc>
          <w:tcPr>
            <w:tcW w:w="1017" w:type="dxa"/>
            <w:vAlign w:val="center"/>
          </w:tcPr>
          <w:p w14:paraId="7977E136" w14:textId="5CC3C9DF" w:rsidR="00EC1479" w:rsidRPr="00DF3F4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w:t>
            </w:r>
            <w:r w:rsidR="00E656F3">
              <w:rPr>
                <w:rFonts w:ascii="Arial" w:hAnsi="Arial" w:cs="Arial"/>
                <w:color w:val="000000"/>
                <w:sz w:val="20"/>
              </w:rPr>
              <w:t>3.2</w:t>
            </w:r>
            <w:r w:rsidRPr="009E6371">
              <w:rPr>
                <w:rFonts w:ascii="Arial" w:hAnsi="Arial" w:cs="Arial"/>
                <w:color w:val="000000"/>
                <w:sz w:val="20"/>
              </w:rPr>
              <w:t>%</w:t>
            </w:r>
          </w:p>
        </w:tc>
        <w:tc>
          <w:tcPr>
            <w:tcW w:w="1364" w:type="dxa"/>
            <w:vAlign w:val="center"/>
          </w:tcPr>
          <w:p w14:paraId="0707DC04" w14:textId="7501EB42" w:rsidR="00EC1479" w:rsidRPr="00DF3F44" w:rsidRDefault="00E656F3"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18"/>
              </w:rPr>
            </w:pPr>
            <w:r>
              <w:rPr>
                <w:rFonts w:ascii="Arial" w:hAnsi="Arial" w:cs="Arial"/>
                <w:color w:val="000000"/>
                <w:sz w:val="20"/>
              </w:rPr>
              <w:t>-1.4</w:t>
            </w:r>
            <w:r w:rsidR="00EC1479" w:rsidRPr="00DF3F44">
              <w:rPr>
                <w:rFonts w:ascii="Arial" w:hAnsi="Arial" w:cs="Arial"/>
                <w:color w:val="000000"/>
                <w:sz w:val="20"/>
              </w:rPr>
              <w:t>%</w:t>
            </w:r>
          </w:p>
        </w:tc>
      </w:tr>
    </w:tbl>
    <w:bookmarkEnd w:id="9"/>
    <w:p w14:paraId="6709ACFA" w14:textId="28205D54" w:rsidR="003E1369" w:rsidRDefault="003E1369" w:rsidP="00EE41DD">
      <w:pPr>
        <w:pStyle w:val="NoSpacing"/>
        <w:ind w:right="-90"/>
        <w:rPr>
          <w:rFonts w:ascii="Arial" w:hAnsi="Arial" w:cs="Arial"/>
          <w:sz w:val="20"/>
          <w:szCs w:val="20"/>
        </w:rPr>
      </w:pPr>
      <w:r>
        <w:rPr>
          <w:rFonts w:ascii="Arial" w:hAnsi="Arial" w:cs="Arial"/>
          <w:sz w:val="20"/>
          <w:szCs w:val="20"/>
        </w:rPr>
        <w:t xml:space="preserve">Growth would have likely been even stronger if it hadn’t been for the final week of June, ending 6/29. This is the week leading up to Independence Day. With the holiday falling on a Friday this year, it is likely that more of the sales were pushed into the first week of July with the </w:t>
      </w:r>
      <w:proofErr w:type="spellStart"/>
      <w:r>
        <w:rPr>
          <w:rFonts w:ascii="Arial" w:hAnsi="Arial" w:cs="Arial"/>
          <w:sz w:val="20"/>
          <w:szCs w:val="20"/>
        </w:rPr>
        <w:t>Circana</w:t>
      </w:r>
      <w:proofErr w:type="spellEnd"/>
      <w:r>
        <w:rPr>
          <w:rFonts w:ascii="Arial" w:hAnsi="Arial" w:cs="Arial"/>
          <w:sz w:val="20"/>
          <w:szCs w:val="20"/>
        </w:rPr>
        <w:t xml:space="preserve"> week endings falling on Sundays. </w:t>
      </w:r>
      <w:r w:rsidR="00FC591F">
        <w:rPr>
          <w:rFonts w:ascii="Arial" w:hAnsi="Arial" w:cs="Arial"/>
          <w:sz w:val="20"/>
          <w:szCs w:val="20"/>
        </w:rPr>
        <w:t>This will likely bode well for the July report.</w:t>
      </w:r>
    </w:p>
    <w:p w14:paraId="53629B3F" w14:textId="77777777" w:rsidR="003E1369" w:rsidRDefault="003E1369" w:rsidP="00EE41DD">
      <w:pPr>
        <w:pStyle w:val="NoSpacing"/>
        <w:ind w:right="-90"/>
        <w:rPr>
          <w:rFonts w:ascii="Arial" w:hAnsi="Arial" w:cs="Arial"/>
          <w:sz w:val="20"/>
          <w:szCs w:val="20"/>
        </w:rPr>
      </w:pPr>
    </w:p>
    <w:p w14:paraId="451D6040" w14:textId="793DD007" w:rsidR="000421E1" w:rsidRDefault="00090461" w:rsidP="00EE41DD">
      <w:pPr>
        <w:pStyle w:val="NoSpacing"/>
        <w:ind w:right="-90"/>
        <w:rPr>
          <w:rFonts w:ascii="Arial" w:hAnsi="Arial" w:cs="Arial"/>
          <w:sz w:val="20"/>
          <w:szCs w:val="20"/>
        </w:rPr>
      </w:pPr>
      <w:r>
        <w:rPr>
          <w:rFonts w:ascii="Arial" w:hAnsi="Arial" w:cs="Arial"/>
          <w:sz w:val="20"/>
          <w:szCs w:val="20"/>
        </w:rPr>
        <w:t xml:space="preserve"> </w:t>
      </w:r>
    </w:p>
    <w:p w14:paraId="529D82A7" w14:textId="143630EB" w:rsidR="00297E8F" w:rsidRDefault="0041783E" w:rsidP="00297E8F">
      <w:pPr>
        <w:pStyle w:val="NoSpacing"/>
        <w:rPr>
          <w:rFonts w:ascii="Arial" w:hAnsi="Arial" w:cs="Arial"/>
          <w:sz w:val="20"/>
          <w:szCs w:val="20"/>
        </w:rPr>
      </w:pPr>
      <w:r>
        <w:rPr>
          <w:rFonts w:ascii="Arial" w:hAnsi="Arial" w:cs="Arial"/>
          <w:sz w:val="20"/>
          <w:szCs w:val="20"/>
        </w:rPr>
        <w:t xml:space="preserve"> </w:t>
      </w:r>
      <w:r w:rsidR="008A47E3">
        <w:rPr>
          <w:rFonts w:ascii="Arial" w:hAnsi="Arial" w:cs="Arial"/>
          <w:sz w:val="20"/>
          <w:szCs w:val="20"/>
        </w:rPr>
        <w:t xml:space="preserve"> </w:t>
      </w:r>
      <w:r w:rsidR="00297E8F">
        <w:rPr>
          <w:rFonts w:ascii="Arial" w:hAnsi="Arial" w:cs="Arial"/>
          <w:sz w:val="20"/>
          <w:szCs w:val="20"/>
        </w:rPr>
        <w:t xml:space="preserve">  </w:t>
      </w:r>
    </w:p>
    <w:p w14:paraId="7B831515" w14:textId="0B2A1D04" w:rsidR="001D42B8" w:rsidRPr="00383D77" w:rsidRDefault="001D42B8" w:rsidP="001D42B8">
      <w:pPr>
        <w:pStyle w:val="NoSpacing"/>
        <w:rPr>
          <w:rFonts w:ascii="Arial" w:hAnsi="Arial" w:cs="Arial"/>
          <w:b/>
          <w:color w:val="595959" w:themeColor="text1" w:themeTint="A6"/>
          <w:sz w:val="24"/>
          <w:szCs w:val="24"/>
        </w:rPr>
      </w:pPr>
      <w:r w:rsidRPr="00383D77">
        <w:rPr>
          <w:rFonts w:ascii="Arial" w:hAnsi="Arial" w:cs="Arial"/>
          <w:b/>
          <w:color w:val="595959" w:themeColor="text1" w:themeTint="A6"/>
          <w:sz w:val="24"/>
          <w:szCs w:val="24"/>
        </w:rPr>
        <w:t>Assortment</w:t>
      </w:r>
    </w:p>
    <w:p w14:paraId="7355DADF" w14:textId="0EFF9C9E" w:rsidR="00C9447B" w:rsidRDefault="00FC591F" w:rsidP="00C9447B">
      <w:pPr>
        <w:spacing w:after="0" w:line="240" w:lineRule="auto"/>
        <w:rPr>
          <w:rFonts w:ascii="Arial" w:hAnsi="Arial" w:cs="Arial"/>
          <w:sz w:val="20"/>
          <w:szCs w:val="20"/>
        </w:rPr>
      </w:pPr>
      <w:r>
        <w:rPr>
          <w:rFonts w:ascii="Arial" w:hAnsi="Arial" w:cs="Arial"/>
          <w:sz w:val="20"/>
          <w:szCs w:val="20"/>
        </w:rPr>
        <w:t>After a slight reduction in assortment in the first quarter of 2025, assortment is holding stable at around 456 the past few months</w:t>
      </w:r>
      <w:r w:rsidR="0058209F">
        <w:rPr>
          <w:rFonts w:ascii="Arial" w:hAnsi="Arial" w:cs="Arial"/>
          <w:sz w:val="20"/>
          <w:szCs w:val="20"/>
        </w:rPr>
        <w:t>.</w:t>
      </w:r>
    </w:p>
    <w:p w14:paraId="3DAA7118" w14:textId="77777777" w:rsidR="001D42B8" w:rsidRPr="00C36D0B" w:rsidRDefault="001D42B8" w:rsidP="001D42B8">
      <w:pPr>
        <w:pStyle w:val="NoSpacing"/>
        <w:rPr>
          <w:rFonts w:ascii="Arial" w:hAnsi="Arial" w:cs="Arial"/>
          <w:sz w:val="10"/>
          <w:szCs w:val="10"/>
        </w:rPr>
      </w:pPr>
    </w:p>
    <w:tbl>
      <w:tblPr>
        <w:tblStyle w:val="LightShading-Accent5"/>
        <w:tblW w:w="10632" w:type="dxa"/>
        <w:tblLayout w:type="fixed"/>
        <w:tblLook w:val="04A0" w:firstRow="1" w:lastRow="0" w:firstColumn="1" w:lastColumn="0" w:noHBand="0" w:noVBand="1"/>
      </w:tblPr>
      <w:tblGrid>
        <w:gridCol w:w="1517"/>
        <w:gridCol w:w="807"/>
        <w:gridCol w:w="86"/>
        <w:gridCol w:w="709"/>
        <w:gridCol w:w="12"/>
        <w:gridCol w:w="807"/>
        <w:gridCol w:w="31"/>
        <w:gridCol w:w="775"/>
        <w:gridCol w:w="76"/>
        <w:gridCol w:w="709"/>
        <w:gridCol w:w="22"/>
        <w:gridCol w:w="807"/>
        <w:gridCol w:w="21"/>
        <w:gridCol w:w="786"/>
        <w:gridCol w:w="65"/>
        <w:gridCol w:w="741"/>
        <w:gridCol w:w="109"/>
        <w:gridCol w:w="763"/>
        <w:gridCol w:w="88"/>
        <w:gridCol w:w="782"/>
        <w:gridCol w:w="90"/>
        <w:gridCol w:w="829"/>
      </w:tblGrid>
      <w:tr w:rsidR="00125716" w14:paraId="156AE0C7" w14:textId="207E4BBC" w:rsidTr="00D07BDF">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17" w:type="dxa"/>
            <w:tcBorders>
              <w:top w:val="nil"/>
              <w:bottom w:val="nil"/>
            </w:tcBorders>
            <w:shd w:val="clear" w:color="auto" w:fill="17365D" w:themeFill="text2" w:themeFillShade="BF"/>
          </w:tcPr>
          <w:p w14:paraId="4EC178F7" w14:textId="77777777" w:rsidR="00125716" w:rsidRDefault="00125716" w:rsidP="001A5995">
            <w:pPr>
              <w:pStyle w:val="NoSpacing"/>
              <w:tabs>
                <w:tab w:val="left" w:pos="591"/>
                <w:tab w:val="center" w:pos="3761"/>
              </w:tabs>
              <w:rPr>
                <w:rFonts w:ascii="Arial" w:hAnsi="Arial" w:cs="Arial"/>
                <w:color w:val="FFFFFF" w:themeColor="background1"/>
                <w:sz w:val="18"/>
                <w:szCs w:val="20"/>
              </w:rPr>
            </w:pPr>
            <w:r>
              <w:br w:type="page"/>
            </w:r>
          </w:p>
        </w:tc>
        <w:tc>
          <w:tcPr>
            <w:tcW w:w="9115" w:type="dxa"/>
            <w:gridSpan w:val="21"/>
            <w:tcBorders>
              <w:top w:val="nil"/>
              <w:bottom w:val="nil"/>
            </w:tcBorders>
            <w:shd w:val="clear" w:color="auto" w:fill="17365D" w:themeFill="text2" w:themeFillShade="BF"/>
          </w:tcPr>
          <w:p w14:paraId="2AF17219" w14:textId="7313BB9E" w:rsidR="00125716" w:rsidRDefault="00125716" w:rsidP="00125716">
            <w:pPr>
              <w:pStyle w:val="NoSpacing"/>
              <w:tabs>
                <w:tab w:val="left" w:pos="591"/>
                <w:tab w:val="center" w:pos="3761"/>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Average meat department items per store selling for …</w:t>
            </w:r>
          </w:p>
        </w:tc>
      </w:tr>
      <w:tr w:rsidR="00EC1479" w14:paraId="378AF6F6" w14:textId="43B5F4C9" w:rsidTr="006035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17" w:type="dxa"/>
            <w:tcBorders>
              <w:top w:val="nil"/>
            </w:tcBorders>
            <w:shd w:val="clear" w:color="auto" w:fill="17365D" w:themeFill="text2" w:themeFillShade="BF"/>
          </w:tcPr>
          <w:p w14:paraId="403DDFA0" w14:textId="77777777" w:rsidR="00EC1479" w:rsidRPr="00E23819" w:rsidRDefault="00EC1479" w:rsidP="00EC1479">
            <w:pPr>
              <w:pStyle w:val="NoSpacing"/>
              <w:jc w:val="right"/>
              <w:rPr>
                <w:rFonts w:ascii="Arial" w:hAnsi="Arial" w:cs="Arial"/>
                <w:color w:val="FFFFFF" w:themeColor="background1"/>
                <w:sz w:val="18"/>
                <w:szCs w:val="20"/>
              </w:rPr>
            </w:pPr>
          </w:p>
        </w:tc>
        <w:tc>
          <w:tcPr>
            <w:tcW w:w="893" w:type="dxa"/>
            <w:gridSpan w:val="2"/>
            <w:tcBorders>
              <w:top w:val="nil"/>
            </w:tcBorders>
            <w:shd w:val="clear" w:color="auto" w:fill="17365D" w:themeFill="text2" w:themeFillShade="BF"/>
          </w:tcPr>
          <w:p w14:paraId="20B8D2D8" w14:textId="77777777" w:rsidR="00EC1479" w:rsidRPr="00FF4A0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2019</w:t>
            </w:r>
          </w:p>
        </w:tc>
        <w:tc>
          <w:tcPr>
            <w:tcW w:w="709" w:type="dxa"/>
            <w:tcBorders>
              <w:top w:val="nil"/>
            </w:tcBorders>
            <w:shd w:val="clear" w:color="auto" w:fill="17365D" w:themeFill="text2" w:themeFillShade="BF"/>
          </w:tcPr>
          <w:p w14:paraId="6D7D7A83" w14:textId="77777777" w:rsidR="00EC1479" w:rsidRPr="00FF4A07" w:rsidRDefault="00EC147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2020</w:t>
            </w:r>
          </w:p>
        </w:tc>
        <w:tc>
          <w:tcPr>
            <w:tcW w:w="850" w:type="dxa"/>
            <w:gridSpan w:val="3"/>
            <w:tcBorders>
              <w:top w:val="nil"/>
            </w:tcBorders>
            <w:shd w:val="clear" w:color="auto" w:fill="17365D" w:themeFill="text2" w:themeFillShade="BF"/>
          </w:tcPr>
          <w:p w14:paraId="01D1EFD3" w14:textId="10F58706" w:rsidR="00EC1479" w:rsidRDefault="00EC147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2021</w:t>
            </w:r>
          </w:p>
        </w:tc>
        <w:tc>
          <w:tcPr>
            <w:tcW w:w="851" w:type="dxa"/>
            <w:gridSpan w:val="2"/>
            <w:tcBorders>
              <w:top w:val="nil"/>
            </w:tcBorders>
            <w:shd w:val="clear" w:color="auto" w:fill="17365D" w:themeFill="text2" w:themeFillShade="BF"/>
          </w:tcPr>
          <w:p w14:paraId="27746672" w14:textId="782CA79E" w:rsidR="00EC1479" w:rsidRDefault="00EC147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709" w:type="dxa"/>
            <w:tcBorders>
              <w:top w:val="nil"/>
            </w:tcBorders>
            <w:shd w:val="clear" w:color="auto" w:fill="17365D" w:themeFill="text2" w:themeFillShade="BF"/>
          </w:tcPr>
          <w:p w14:paraId="19074D0E" w14:textId="4E794DE7" w:rsidR="00EC1479" w:rsidRDefault="00EC147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2023</w:t>
            </w:r>
          </w:p>
        </w:tc>
        <w:tc>
          <w:tcPr>
            <w:tcW w:w="850" w:type="dxa"/>
            <w:gridSpan w:val="3"/>
            <w:tcBorders>
              <w:top w:val="nil"/>
            </w:tcBorders>
            <w:shd w:val="clear" w:color="auto" w:fill="17365D" w:themeFill="text2" w:themeFillShade="BF"/>
          </w:tcPr>
          <w:p w14:paraId="4943DE4F" w14:textId="53F6E8F9" w:rsidR="00EC1479" w:rsidRDefault="00EC147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24</w:t>
            </w:r>
          </w:p>
        </w:tc>
        <w:tc>
          <w:tcPr>
            <w:tcW w:w="851" w:type="dxa"/>
            <w:gridSpan w:val="2"/>
            <w:tcBorders>
              <w:top w:val="nil"/>
            </w:tcBorders>
            <w:shd w:val="clear" w:color="auto" w:fill="17365D" w:themeFill="text2" w:themeFillShade="BF"/>
          </w:tcPr>
          <w:p w14:paraId="552436E7" w14:textId="42548062" w:rsidR="00EC1479" w:rsidRDefault="00EC147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24</w:t>
            </w:r>
          </w:p>
        </w:tc>
        <w:tc>
          <w:tcPr>
            <w:tcW w:w="850" w:type="dxa"/>
            <w:gridSpan w:val="2"/>
            <w:tcBorders>
              <w:top w:val="nil"/>
            </w:tcBorders>
            <w:shd w:val="clear" w:color="auto" w:fill="17365D" w:themeFill="text2" w:themeFillShade="BF"/>
          </w:tcPr>
          <w:p w14:paraId="1564F385" w14:textId="3ECE06F8" w:rsidR="00EC1479" w:rsidRDefault="00EC147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24</w:t>
            </w:r>
          </w:p>
        </w:tc>
        <w:tc>
          <w:tcPr>
            <w:tcW w:w="851" w:type="dxa"/>
            <w:gridSpan w:val="2"/>
            <w:tcBorders>
              <w:top w:val="nil"/>
            </w:tcBorders>
            <w:shd w:val="clear" w:color="auto" w:fill="17365D" w:themeFill="text2" w:themeFillShade="BF"/>
          </w:tcPr>
          <w:p w14:paraId="1FB721E5" w14:textId="00EE29FF" w:rsidR="00EC1479" w:rsidRDefault="00EC147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25</w:t>
            </w:r>
          </w:p>
        </w:tc>
        <w:tc>
          <w:tcPr>
            <w:tcW w:w="782" w:type="dxa"/>
            <w:tcBorders>
              <w:top w:val="nil"/>
            </w:tcBorders>
            <w:shd w:val="clear" w:color="auto" w:fill="17365D" w:themeFill="text2" w:themeFillShade="BF"/>
          </w:tcPr>
          <w:p w14:paraId="6C619677" w14:textId="64CF5059" w:rsidR="00EC1479" w:rsidRDefault="00EC147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25</w:t>
            </w:r>
          </w:p>
        </w:tc>
        <w:tc>
          <w:tcPr>
            <w:tcW w:w="919" w:type="dxa"/>
            <w:gridSpan w:val="2"/>
            <w:tcBorders>
              <w:top w:val="nil"/>
            </w:tcBorders>
            <w:shd w:val="clear" w:color="auto" w:fill="17365D" w:themeFill="text2" w:themeFillShade="BF"/>
          </w:tcPr>
          <w:p w14:paraId="367CA0C1" w14:textId="0155DF35" w:rsidR="00EC1479" w:rsidRDefault="00EC1479" w:rsidP="00EC147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June 25</w:t>
            </w:r>
          </w:p>
        </w:tc>
      </w:tr>
      <w:tr w:rsidR="00EC1479" w:rsidRPr="00752B13" w14:paraId="5AC6947B" w14:textId="662FEEDE" w:rsidTr="005B0011">
        <w:trPr>
          <w:trHeight w:val="212"/>
        </w:trPr>
        <w:tc>
          <w:tcPr>
            <w:cnfStyle w:val="001000000000" w:firstRow="0" w:lastRow="0" w:firstColumn="1" w:lastColumn="0" w:oddVBand="0" w:evenVBand="0" w:oddHBand="0" w:evenHBand="0" w:firstRowFirstColumn="0" w:firstRowLastColumn="0" w:lastRowFirstColumn="0" w:lastRowLastColumn="0"/>
            <w:tcW w:w="1517" w:type="dxa"/>
            <w:tcBorders>
              <w:bottom w:val="nil"/>
            </w:tcBorders>
            <w:vAlign w:val="center"/>
          </w:tcPr>
          <w:p w14:paraId="69310325" w14:textId="77777777" w:rsidR="00EC1479" w:rsidRPr="00FB41A2" w:rsidRDefault="00EC1479" w:rsidP="00EC1479">
            <w:pPr>
              <w:rPr>
                <w:rFonts w:ascii="Arial" w:hAnsi="Arial" w:cs="Arial"/>
                <w:b w:val="0"/>
                <w:color w:val="000000" w:themeColor="text1"/>
                <w:sz w:val="18"/>
              </w:rPr>
            </w:pPr>
            <w:r w:rsidRPr="00FB41A2">
              <w:rPr>
                <w:rFonts w:ascii="Arial" w:hAnsi="Arial" w:cs="Arial"/>
                <w:b w:val="0"/>
                <w:color w:val="000000" w:themeColor="text1"/>
                <w:sz w:val="18"/>
              </w:rPr>
              <w:t>Total meat</w:t>
            </w:r>
          </w:p>
        </w:tc>
        <w:tc>
          <w:tcPr>
            <w:tcW w:w="807" w:type="dxa"/>
            <w:tcBorders>
              <w:bottom w:val="nil"/>
            </w:tcBorders>
            <w:vAlign w:val="center"/>
          </w:tcPr>
          <w:p w14:paraId="1852A319" w14:textId="0893541A" w:rsidR="00EC1479" w:rsidRPr="00FB4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478</w:t>
            </w:r>
          </w:p>
        </w:tc>
        <w:tc>
          <w:tcPr>
            <w:tcW w:w="807" w:type="dxa"/>
            <w:gridSpan w:val="3"/>
            <w:tcBorders>
              <w:bottom w:val="nil"/>
            </w:tcBorders>
            <w:vAlign w:val="center"/>
          </w:tcPr>
          <w:p w14:paraId="3547A4D7" w14:textId="7FE5D2F6" w:rsidR="00EC1479" w:rsidRPr="00FB4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807" w:type="dxa"/>
            <w:tcBorders>
              <w:bottom w:val="nil"/>
            </w:tcBorders>
            <w:vAlign w:val="center"/>
          </w:tcPr>
          <w:p w14:paraId="188B8CC5" w14:textId="077E1EE2" w:rsidR="00EC1479" w:rsidRPr="00FB4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806" w:type="dxa"/>
            <w:gridSpan w:val="2"/>
            <w:tcBorders>
              <w:bottom w:val="nil"/>
            </w:tcBorders>
            <w:vAlign w:val="center"/>
          </w:tcPr>
          <w:p w14:paraId="0E407B4B" w14:textId="4D64F9C3" w:rsidR="00EC1479" w:rsidRPr="00FB4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439</w:t>
            </w:r>
          </w:p>
        </w:tc>
        <w:tc>
          <w:tcPr>
            <w:tcW w:w="807" w:type="dxa"/>
            <w:gridSpan w:val="3"/>
            <w:tcBorders>
              <w:bottom w:val="nil"/>
            </w:tcBorders>
            <w:vAlign w:val="center"/>
          </w:tcPr>
          <w:p w14:paraId="234D09B9" w14:textId="1A03F49C" w:rsidR="00EC1479" w:rsidRPr="00FB4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807" w:type="dxa"/>
            <w:tcBorders>
              <w:bottom w:val="nil"/>
            </w:tcBorders>
            <w:vAlign w:val="center"/>
          </w:tcPr>
          <w:p w14:paraId="60C4B9AA" w14:textId="703AC33C" w:rsidR="00EC1479" w:rsidRPr="00431CC6"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428</w:t>
            </w:r>
          </w:p>
        </w:tc>
        <w:tc>
          <w:tcPr>
            <w:tcW w:w="807" w:type="dxa"/>
            <w:gridSpan w:val="2"/>
            <w:tcBorders>
              <w:bottom w:val="nil"/>
            </w:tcBorders>
            <w:vAlign w:val="center"/>
          </w:tcPr>
          <w:p w14:paraId="677DF837" w14:textId="1960DAEC" w:rsidR="00EC1479"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424</w:t>
            </w:r>
          </w:p>
        </w:tc>
        <w:tc>
          <w:tcPr>
            <w:tcW w:w="806" w:type="dxa"/>
            <w:gridSpan w:val="2"/>
            <w:tcBorders>
              <w:bottom w:val="nil"/>
            </w:tcBorders>
            <w:vAlign w:val="center"/>
          </w:tcPr>
          <w:p w14:paraId="70B1ED1A" w14:textId="33BB489B" w:rsidR="00EC1479"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455</w:t>
            </w:r>
          </w:p>
        </w:tc>
        <w:tc>
          <w:tcPr>
            <w:tcW w:w="872" w:type="dxa"/>
            <w:gridSpan w:val="2"/>
            <w:tcBorders>
              <w:bottom w:val="nil"/>
            </w:tcBorders>
          </w:tcPr>
          <w:p w14:paraId="32CA22D3" w14:textId="32DD36FB" w:rsidR="00EC1479" w:rsidRPr="00431CC6"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450</w:t>
            </w:r>
          </w:p>
        </w:tc>
        <w:tc>
          <w:tcPr>
            <w:tcW w:w="960" w:type="dxa"/>
            <w:gridSpan w:val="3"/>
            <w:tcBorders>
              <w:bottom w:val="nil"/>
            </w:tcBorders>
          </w:tcPr>
          <w:p w14:paraId="165D05BC" w14:textId="79FD5A36" w:rsidR="00EC1479" w:rsidRPr="00431CC6" w:rsidRDefault="00616F33"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456</w:t>
            </w:r>
          </w:p>
        </w:tc>
        <w:tc>
          <w:tcPr>
            <w:tcW w:w="829" w:type="dxa"/>
            <w:tcBorders>
              <w:bottom w:val="nil"/>
            </w:tcBorders>
            <w:vAlign w:val="center"/>
          </w:tcPr>
          <w:p w14:paraId="57EBA3EC" w14:textId="2F863720" w:rsidR="00EC1479" w:rsidRPr="00431CC6" w:rsidRDefault="00616F33"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458</w:t>
            </w:r>
          </w:p>
        </w:tc>
      </w:tr>
      <w:tr w:rsidR="00EC1479" w:rsidRPr="00752B13" w14:paraId="45D95AB2" w14:textId="05FC7672" w:rsidTr="005B0011">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517" w:type="dxa"/>
            <w:tcBorders>
              <w:top w:val="nil"/>
              <w:bottom w:val="nil"/>
            </w:tcBorders>
            <w:shd w:val="clear" w:color="auto" w:fill="D9D9D9" w:themeFill="background1" w:themeFillShade="D9"/>
            <w:vAlign w:val="center"/>
          </w:tcPr>
          <w:p w14:paraId="0F3B2148" w14:textId="15996EE4" w:rsidR="00EC1479" w:rsidRPr="00FB41A2" w:rsidRDefault="00EC1479" w:rsidP="00EC1479">
            <w:pPr>
              <w:rPr>
                <w:rFonts w:ascii="Arial" w:hAnsi="Arial" w:cs="Arial"/>
                <w:b w:val="0"/>
                <w:color w:val="000000" w:themeColor="text1"/>
                <w:sz w:val="18"/>
              </w:rPr>
            </w:pPr>
            <w:r w:rsidRPr="00FB41A2">
              <w:rPr>
                <w:rFonts w:ascii="Arial" w:hAnsi="Arial" w:cs="Arial"/>
                <w:b w:val="0"/>
                <w:color w:val="000000" w:themeColor="text1"/>
                <w:sz w:val="18"/>
              </w:rPr>
              <w:t>Change vs. YA</w:t>
            </w:r>
          </w:p>
        </w:tc>
        <w:tc>
          <w:tcPr>
            <w:tcW w:w="807" w:type="dxa"/>
            <w:tcBorders>
              <w:top w:val="nil"/>
              <w:bottom w:val="nil"/>
            </w:tcBorders>
            <w:shd w:val="clear" w:color="auto" w:fill="D9D9D9" w:themeFill="background1" w:themeFillShade="D9"/>
            <w:vAlign w:val="center"/>
          </w:tcPr>
          <w:p w14:paraId="6A787E87" w14:textId="34CA62A7" w:rsidR="00EC1479" w:rsidRPr="00FB41A2"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p>
        </w:tc>
        <w:tc>
          <w:tcPr>
            <w:tcW w:w="807" w:type="dxa"/>
            <w:gridSpan w:val="3"/>
            <w:tcBorders>
              <w:top w:val="nil"/>
              <w:bottom w:val="nil"/>
            </w:tcBorders>
            <w:shd w:val="clear" w:color="auto" w:fill="D9D9D9" w:themeFill="background1" w:themeFillShade="D9"/>
            <w:vAlign w:val="center"/>
          </w:tcPr>
          <w:p w14:paraId="2B9AE3CD" w14:textId="1F2E54FA" w:rsidR="00EC1479" w:rsidRPr="00FB41A2"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-6.2</w:t>
            </w:r>
            <w:r w:rsidRPr="00FB41A2">
              <w:rPr>
                <w:rFonts w:ascii="Arial" w:hAnsi="Arial" w:cs="Arial"/>
                <w:color w:val="000000" w:themeColor="text1"/>
                <w:sz w:val="18"/>
                <w:szCs w:val="18"/>
              </w:rPr>
              <w:t>%</w:t>
            </w:r>
          </w:p>
        </w:tc>
        <w:tc>
          <w:tcPr>
            <w:tcW w:w="807" w:type="dxa"/>
            <w:tcBorders>
              <w:top w:val="nil"/>
              <w:bottom w:val="nil"/>
            </w:tcBorders>
            <w:shd w:val="clear" w:color="auto" w:fill="D9D9D9" w:themeFill="background1" w:themeFillShade="D9"/>
            <w:vAlign w:val="center"/>
          </w:tcPr>
          <w:p w14:paraId="7021F262" w14:textId="0A773F5C" w:rsidR="00EC1479" w:rsidRPr="00FB41A2"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-0.0</w:t>
            </w:r>
            <w:r w:rsidRPr="00FB41A2">
              <w:rPr>
                <w:rFonts w:ascii="Arial" w:hAnsi="Arial" w:cs="Arial"/>
                <w:color w:val="000000" w:themeColor="text1"/>
                <w:sz w:val="18"/>
                <w:szCs w:val="18"/>
              </w:rPr>
              <w:t>%</w:t>
            </w:r>
          </w:p>
        </w:tc>
        <w:tc>
          <w:tcPr>
            <w:tcW w:w="806" w:type="dxa"/>
            <w:gridSpan w:val="2"/>
            <w:tcBorders>
              <w:top w:val="nil"/>
              <w:bottom w:val="nil"/>
            </w:tcBorders>
            <w:shd w:val="clear" w:color="auto" w:fill="D9D9D9" w:themeFill="background1" w:themeFillShade="D9"/>
            <w:vAlign w:val="center"/>
          </w:tcPr>
          <w:p w14:paraId="439BAA19" w14:textId="57F3B736" w:rsidR="00EC1479" w:rsidRPr="00FB41A2"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-2.1</w:t>
            </w:r>
            <w:r w:rsidRPr="00FB41A2">
              <w:rPr>
                <w:rFonts w:ascii="Arial" w:hAnsi="Arial" w:cs="Arial"/>
                <w:color w:val="000000" w:themeColor="text1"/>
                <w:sz w:val="18"/>
                <w:szCs w:val="18"/>
              </w:rPr>
              <w:t>%</w:t>
            </w:r>
          </w:p>
        </w:tc>
        <w:tc>
          <w:tcPr>
            <w:tcW w:w="807" w:type="dxa"/>
            <w:gridSpan w:val="3"/>
            <w:tcBorders>
              <w:top w:val="nil"/>
              <w:bottom w:val="nil"/>
            </w:tcBorders>
            <w:shd w:val="clear" w:color="auto" w:fill="D9D9D9" w:themeFill="background1" w:themeFillShade="D9"/>
            <w:vAlign w:val="center"/>
          </w:tcPr>
          <w:p w14:paraId="493E3E61" w14:textId="28B4BE56" w:rsidR="00EC1479" w:rsidRPr="00FB41A2"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r w:rsidRPr="00FB41A2">
              <w:rPr>
                <w:rFonts w:ascii="Arial" w:hAnsi="Arial" w:cs="Arial"/>
                <w:color w:val="000000" w:themeColor="text1"/>
                <w:sz w:val="18"/>
                <w:szCs w:val="18"/>
              </w:rPr>
              <w:t>%</w:t>
            </w:r>
          </w:p>
        </w:tc>
        <w:tc>
          <w:tcPr>
            <w:tcW w:w="807" w:type="dxa"/>
            <w:tcBorders>
              <w:top w:val="nil"/>
              <w:bottom w:val="nil"/>
            </w:tcBorders>
            <w:shd w:val="clear" w:color="auto" w:fill="D9D9D9" w:themeFill="background1" w:themeFillShade="D9"/>
            <w:vAlign w:val="center"/>
          </w:tcPr>
          <w:p w14:paraId="6996C2C8" w14:textId="00504A42" w:rsidR="00EC1479"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-2.0%</w:t>
            </w:r>
          </w:p>
        </w:tc>
        <w:tc>
          <w:tcPr>
            <w:tcW w:w="807" w:type="dxa"/>
            <w:gridSpan w:val="2"/>
            <w:tcBorders>
              <w:top w:val="nil"/>
              <w:bottom w:val="nil"/>
            </w:tcBorders>
            <w:shd w:val="clear" w:color="auto" w:fill="D9D9D9" w:themeFill="background1" w:themeFillShade="D9"/>
            <w:vAlign w:val="center"/>
          </w:tcPr>
          <w:p w14:paraId="5EA98CAA" w14:textId="233D7A5B" w:rsidR="00EC1479"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p>
        </w:tc>
        <w:tc>
          <w:tcPr>
            <w:tcW w:w="806" w:type="dxa"/>
            <w:gridSpan w:val="2"/>
            <w:tcBorders>
              <w:top w:val="nil"/>
              <w:bottom w:val="nil"/>
            </w:tcBorders>
            <w:shd w:val="clear" w:color="auto" w:fill="D9D9D9" w:themeFill="background1" w:themeFillShade="D9"/>
            <w:vAlign w:val="center"/>
          </w:tcPr>
          <w:p w14:paraId="1BC245C3" w14:textId="088BA744" w:rsidR="00EC1479"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-0.3%</w:t>
            </w:r>
          </w:p>
        </w:tc>
        <w:tc>
          <w:tcPr>
            <w:tcW w:w="872" w:type="dxa"/>
            <w:gridSpan w:val="2"/>
            <w:tcBorders>
              <w:top w:val="nil"/>
              <w:bottom w:val="nil"/>
            </w:tcBorders>
            <w:shd w:val="clear" w:color="auto" w:fill="D9D9D9" w:themeFill="background1" w:themeFillShade="D9"/>
          </w:tcPr>
          <w:p w14:paraId="0AD260E2" w14:textId="709C9206" w:rsidR="00EC1479"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-0.4%</w:t>
            </w:r>
          </w:p>
        </w:tc>
        <w:tc>
          <w:tcPr>
            <w:tcW w:w="960" w:type="dxa"/>
            <w:gridSpan w:val="3"/>
            <w:tcBorders>
              <w:top w:val="nil"/>
              <w:bottom w:val="nil"/>
            </w:tcBorders>
            <w:shd w:val="clear" w:color="auto" w:fill="D9D9D9" w:themeFill="background1" w:themeFillShade="D9"/>
          </w:tcPr>
          <w:p w14:paraId="004D73D0" w14:textId="557B73EB" w:rsidR="00EC1479" w:rsidRDefault="00616F33"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+0.7</w:t>
            </w:r>
            <w:r w:rsidR="00960011">
              <w:rPr>
                <w:rFonts w:ascii="Arial" w:hAnsi="Arial" w:cs="Arial"/>
                <w:color w:val="000000" w:themeColor="text1"/>
                <w:sz w:val="18"/>
                <w:szCs w:val="18"/>
              </w:rPr>
              <w:t>%</w:t>
            </w:r>
          </w:p>
        </w:tc>
        <w:tc>
          <w:tcPr>
            <w:tcW w:w="829" w:type="dxa"/>
            <w:tcBorders>
              <w:top w:val="nil"/>
              <w:bottom w:val="nil"/>
            </w:tcBorders>
            <w:shd w:val="clear" w:color="auto" w:fill="D9D9D9" w:themeFill="background1" w:themeFillShade="D9"/>
            <w:vAlign w:val="center"/>
          </w:tcPr>
          <w:p w14:paraId="4158A17F" w14:textId="6B0ECBDD" w:rsidR="00EC1479" w:rsidRPr="00FB41A2" w:rsidRDefault="00616F33"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+0.5</w:t>
            </w:r>
            <w:r w:rsidR="00EC1479" w:rsidRPr="00FB41A2">
              <w:rPr>
                <w:rFonts w:ascii="Arial" w:hAnsi="Arial" w:cs="Arial"/>
                <w:color w:val="000000" w:themeColor="text1"/>
                <w:sz w:val="18"/>
                <w:szCs w:val="18"/>
              </w:rPr>
              <w:t>%</w:t>
            </w:r>
          </w:p>
        </w:tc>
      </w:tr>
    </w:tbl>
    <w:p w14:paraId="3E7941CB" w14:textId="77777777" w:rsidR="001D42B8" w:rsidRPr="004D62C0" w:rsidRDefault="001D42B8" w:rsidP="001D42B8">
      <w:pPr>
        <w:pStyle w:val="NoSpacing"/>
        <w:rPr>
          <w:rFonts w:cstheme="minorHAnsi"/>
          <w:sz w:val="10"/>
          <w:szCs w:val="10"/>
        </w:rPr>
      </w:pPr>
    </w:p>
    <w:p w14:paraId="2BAABCF2" w14:textId="3F13B3C9" w:rsidR="00A13AC1" w:rsidRPr="00151AA6" w:rsidRDefault="001D42B8" w:rsidP="007A2A81">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proofErr w:type="spellStart"/>
      <w:r w:rsidR="00FB48FE" w:rsidRPr="00E54A99">
        <w:rPr>
          <w:rFonts w:ascii="Arial" w:hAnsi="Arial" w:cs="Arial"/>
          <w:color w:val="7F7F7F" w:themeColor="text1" w:themeTint="80"/>
          <w:sz w:val="16"/>
          <w:szCs w:val="16"/>
        </w:rPr>
        <w:t>Circana</w:t>
      </w:r>
      <w:proofErr w:type="spellEnd"/>
      <w:r w:rsidRPr="00E54A99">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r w:rsidRPr="00E54A99">
        <w:rPr>
          <w:rFonts w:ascii="Arial" w:hAnsi="Arial" w:cs="Arial"/>
          <w:color w:val="7F7F7F" w:themeColor="text1" w:themeTint="80"/>
          <w:sz w:val="16"/>
          <w:szCs w:val="16"/>
        </w:rPr>
        <w:t>, average items per store selling</w:t>
      </w:r>
      <w:bookmarkStart w:id="10" w:name="_Hlk76976129"/>
    </w:p>
    <w:p w14:paraId="0011347E" w14:textId="54D84FA6" w:rsidR="00A13AC1" w:rsidRDefault="00A13AC1" w:rsidP="007A2A81">
      <w:pPr>
        <w:pStyle w:val="NoSpacing"/>
        <w:rPr>
          <w:rFonts w:ascii="Arial" w:hAnsi="Arial" w:cs="Arial"/>
          <w:b/>
          <w:color w:val="595959" w:themeColor="text1" w:themeTint="A6"/>
          <w:sz w:val="24"/>
          <w:szCs w:val="24"/>
        </w:rPr>
      </w:pPr>
    </w:p>
    <w:p w14:paraId="7D2DECE6" w14:textId="60877275" w:rsidR="00E8276F" w:rsidRPr="006879B2" w:rsidRDefault="00186F1E" w:rsidP="00836A9E">
      <w:pPr>
        <w:pStyle w:val="NoSpacing"/>
      </w:pPr>
      <w:r>
        <w:t xml:space="preserve">Fresh </w:t>
      </w:r>
      <w:r w:rsidR="00E8276F" w:rsidRPr="006879B2">
        <w:t xml:space="preserve">Meat </w:t>
      </w:r>
      <w:r w:rsidR="00E54A99">
        <w:t xml:space="preserve">Sales </w:t>
      </w:r>
      <w:r w:rsidR="00E8276F" w:rsidRPr="006879B2">
        <w:t>by Protein</w:t>
      </w:r>
      <w:r w:rsidR="00E57D76">
        <w:t xml:space="preserve"> </w:t>
      </w:r>
    </w:p>
    <w:p w14:paraId="55D7936B" w14:textId="370FFC6B" w:rsidR="00451808" w:rsidRDefault="00FC591F" w:rsidP="00836A9E">
      <w:pPr>
        <w:pStyle w:val="NoSpacing"/>
        <w:rPr>
          <w:sz w:val="20"/>
          <w:szCs w:val="20"/>
        </w:rPr>
      </w:pPr>
      <w:r>
        <w:rPr>
          <w:sz w:val="20"/>
          <w:szCs w:val="20"/>
        </w:rPr>
        <w:t xml:space="preserve">Beef generated more than half of all fresh meat sales with dollars up by double digits. This includes robust price increases but also 3.5% growth in volume sales. Pork and lamb also had a strong June. </w:t>
      </w:r>
    </w:p>
    <w:p w14:paraId="3C5907D2" w14:textId="66DEBC4F" w:rsidR="00525982" w:rsidRPr="002C6723" w:rsidRDefault="00525982" w:rsidP="00836A9E">
      <w:pPr>
        <w:pStyle w:val="NoSpacing"/>
        <w:rPr>
          <w:sz w:val="14"/>
          <w:szCs w:val="14"/>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1080"/>
        <w:gridCol w:w="1187"/>
        <w:gridCol w:w="1333"/>
      </w:tblGrid>
      <w:tr w:rsidR="002C18CE" w:rsidRPr="0003007F" w14:paraId="17BFBC6C" w14:textId="77777777" w:rsidTr="00487FF5">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130" w:type="dxa"/>
            <w:gridSpan w:val="6"/>
            <w:tcBorders>
              <w:top w:val="nil"/>
              <w:bottom w:val="nil"/>
            </w:tcBorders>
            <w:shd w:val="clear" w:color="auto" w:fill="17365D" w:themeFill="text2" w:themeFillShade="BF"/>
          </w:tcPr>
          <w:p w14:paraId="64494292" w14:textId="7FAEDA0D" w:rsidR="002C18CE" w:rsidRPr="00AB1306" w:rsidRDefault="000A2703" w:rsidP="00836A9E">
            <w:pPr>
              <w:pStyle w:val="NoSpacing"/>
              <w:rPr>
                <w:color w:val="FFFFFF" w:themeColor="background1"/>
                <w:sz w:val="18"/>
                <w:szCs w:val="18"/>
              </w:rPr>
            </w:pPr>
            <w:bookmarkStart w:id="11" w:name="_Hlk137219531"/>
            <w:r>
              <w:rPr>
                <w:color w:val="FFFFFF" w:themeColor="background1"/>
                <w:sz w:val="18"/>
                <w:szCs w:val="18"/>
              </w:rPr>
              <w:t>June</w:t>
            </w:r>
            <w:r w:rsidR="00C90554">
              <w:rPr>
                <w:color w:val="FFFFFF" w:themeColor="background1"/>
                <w:sz w:val="18"/>
                <w:szCs w:val="18"/>
              </w:rPr>
              <w:t xml:space="preserve"> </w:t>
            </w:r>
            <w:r w:rsidR="000421E1">
              <w:rPr>
                <w:color w:val="FFFFFF" w:themeColor="background1"/>
                <w:sz w:val="18"/>
                <w:szCs w:val="18"/>
              </w:rPr>
              <w:t>2025</w:t>
            </w:r>
          </w:p>
        </w:tc>
        <w:tc>
          <w:tcPr>
            <w:tcW w:w="1710" w:type="dxa"/>
            <w:tcBorders>
              <w:top w:val="nil"/>
              <w:bottom w:val="nil"/>
            </w:tcBorders>
            <w:shd w:val="clear" w:color="auto" w:fill="17365D" w:themeFill="text2" w:themeFillShade="BF"/>
          </w:tcPr>
          <w:p w14:paraId="698BCC41" w14:textId="77777777" w:rsidR="002C18CE" w:rsidRPr="00F515F4" w:rsidRDefault="002C18CE" w:rsidP="00836A9E">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p>
        </w:tc>
        <w:tc>
          <w:tcPr>
            <w:tcW w:w="3600" w:type="dxa"/>
            <w:gridSpan w:val="3"/>
            <w:tcBorders>
              <w:top w:val="nil"/>
              <w:bottom w:val="nil"/>
            </w:tcBorders>
            <w:shd w:val="clear" w:color="auto" w:fill="17365D" w:themeFill="text2" w:themeFillShade="BF"/>
          </w:tcPr>
          <w:p w14:paraId="3327C510" w14:textId="143D7544" w:rsidR="002C18CE" w:rsidRPr="0003007F" w:rsidRDefault="002C18CE" w:rsidP="00836A9E">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Latest 52 weeks </w:t>
            </w:r>
          </w:p>
        </w:tc>
      </w:tr>
      <w:tr w:rsidR="00525982" w:rsidRPr="002A3B9B" w14:paraId="02E6A43C" w14:textId="77777777" w:rsidTr="000421E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1AC4B42" w14:textId="77777777" w:rsidR="00525982" w:rsidRPr="002A3B9B" w:rsidRDefault="00525982" w:rsidP="00836A9E">
            <w:pPr>
              <w:pStyle w:val="NoSpacing"/>
              <w:rPr>
                <w:color w:val="FFFFFF" w:themeColor="background1"/>
                <w:sz w:val="18"/>
                <w:szCs w:val="18"/>
              </w:rPr>
            </w:pPr>
            <w:r w:rsidRPr="002A3B9B">
              <w:rPr>
                <w:color w:val="FFFFFF" w:themeColor="background1"/>
                <w:sz w:val="18"/>
                <w:szCs w:val="18"/>
              </w:rPr>
              <w:t>Type</w:t>
            </w:r>
          </w:p>
        </w:tc>
        <w:tc>
          <w:tcPr>
            <w:tcW w:w="900" w:type="dxa"/>
            <w:tcBorders>
              <w:top w:val="nil"/>
              <w:bottom w:val="nil"/>
            </w:tcBorders>
            <w:shd w:val="clear" w:color="auto" w:fill="17365D" w:themeFill="text2" w:themeFillShade="BF"/>
          </w:tcPr>
          <w:p w14:paraId="39CFFC84" w14:textId="77777777" w:rsidR="00525982" w:rsidRPr="002A3B9B" w:rsidRDefault="00525982" w:rsidP="00836A9E">
            <w:pPr>
              <w:pStyle w:val="NoSpacing"/>
              <w:cnfStyle w:val="000000100000" w:firstRow="0" w:lastRow="0" w:firstColumn="0" w:lastColumn="0" w:oddVBand="0" w:evenVBand="0" w:oddHBand="1" w:evenHBand="0" w:firstRowFirstColumn="0" w:firstRowLastColumn="0" w:lastRowFirstColumn="0" w:lastRowLastColumn="0"/>
              <w:rPr>
                <w:bCs/>
                <w:color w:val="FFFFFF" w:themeColor="background1"/>
                <w:sz w:val="18"/>
                <w:szCs w:val="18"/>
              </w:rPr>
            </w:pPr>
            <w:r w:rsidRPr="002A3B9B">
              <w:rPr>
                <w:bCs/>
                <w:color w:val="FFFFFF" w:themeColor="background1"/>
                <w:sz w:val="18"/>
                <w:szCs w:val="18"/>
              </w:rPr>
              <w:t>$ sales</w:t>
            </w:r>
          </w:p>
        </w:tc>
        <w:tc>
          <w:tcPr>
            <w:tcW w:w="1165" w:type="dxa"/>
            <w:gridSpan w:val="2"/>
            <w:tcBorders>
              <w:top w:val="nil"/>
              <w:bottom w:val="nil"/>
            </w:tcBorders>
            <w:shd w:val="clear" w:color="auto" w:fill="17365D" w:themeFill="text2" w:themeFillShade="BF"/>
          </w:tcPr>
          <w:p w14:paraId="7B17301D" w14:textId="77777777" w:rsidR="00525982" w:rsidRPr="002A3B9B" w:rsidRDefault="00525982" w:rsidP="00836A9E">
            <w:pPr>
              <w:pStyle w:val="NoSpacing"/>
              <w:cnfStyle w:val="000000100000" w:firstRow="0" w:lastRow="0" w:firstColumn="0" w:lastColumn="0" w:oddVBand="0" w:evenVBand="0" w:oddHBand="1" w:evenHBand="0" w:firstRowFirstColumn="0" w:firstRowLastColumn="0" w:lastRowFirstColumn="0" w:lastRowLastColumn="0"/>
              <w:rPr>
                <w:bCs/>
                <w:color w:val="FFFFFF" w:themeColor="background1"/>
                <w:sz w:val="18"/>
                <w:szCs w:val="18"/>
              </w:rPr>
            </w:pPr>
            <w:r w:rsidRPr="002A3B9B">
              <w:rPr>
                <w:bCs/>
                <w:color w:val="FFFFFF" w:themeColor="background1"/>
                <w:sz w:val="18"/>
                <w:szCs w:val="18"/>
              </w:rPr>
              <w:t>$ vs. YA</w:t>
            </w:r>
          </w:p>
        </w:tc>
        <w:tc>
          <w:tcPr>
            <w:tcW w:w="1333" w:type="dxa"/>
            <w:tcBorders>
              <w:top w:val="nil"/>
              <w:bottom w:val="nil"/>
            </w:tcBorders>
            <w:shd w:val="clear" w:color="auto" w:fill="17365D" w:themeFill="text2" w:themeFillShade="BF"/>
          </w:tcPr>
          <w:p w14:paraId="439DB269" w14:textId="77777777" w:rsidR="00525982" w:rsidRPr="002A3B9B" w:rsidRDefault="00525982" w:rsidP="00836A9E">
            <w:pPr>
              <w:pStyle w:val="NoSpacing"/>
              <w:cnfStyle w:val="000000100000" w:firstRow="0" w:lastRow="0" w:firstColumn="0" w:lastColumn="0" w:oddVBand="0" w:evenVBand="0" w:oddHBand="1" w:evenHBand="0" w:firstRowFirstColumn="0" w:firstRowLastColumn="0" w:lastRowFirstColumn="0" w:lastRowLastColumn="0"/>
              <w:rPr>
                <w:bCs/>
                <w:color w:val="FFFFFF" w:themeColor="background1"/>
                <w:sz w:val="18"/>
                <w:szCs w:val="18"/>
              </w:rPr>
            </w:pPr>
            <w:proofErr w:type="spellStart"/>
            <w:r w:rsidRPr="002A3B9B">
              <w:rPr>
                <w:bCs/>
                <w:color w:val="FFFFFF" w:themeColor="background1"/>
                <w:sz w:val="18"/>
                <w:szCs w:val="18"/>
              </w:rPr>
              <w:t>Lbs</w:t>
            </w:r>
            <w:proofErr w:type="spellEnd"/>
            <w:r w:rsidRPr="002A3B9B">
              <w:rPr>
                <w:bCs/>
                <w:color w:val="FFFFFF" w:themeColor="background1"/>
                <w:sz w:val="18"/>
                <w:szCs w:val="18"/>
              </w:rPr>
              <w:t xml:space="preserve"> vs. YA</w:t>
            </w:r>
          </w:p>
        </w:tc>
        <w:tc>
          <w:tcPr>
            <w:tcW w:w="1732" w:type="dxa"/>
            <w:gridSpan w:val="2"/>
            <w:tcBorders>
              <w:top w:val="nil"/>
              <w:bottom w:val="nil"/>
            </w:tcBorders>
            <w:shd w:val="clear" w:color="auto" w:fill="17365D" w:themeFill="text2" w:themeFillShade="BF"/>
          </w:tcPr>
          <w:p w14:paraId="13D232F3" w14:textId="77777777" w:rsidR="00525982" w:rsidRPr="002A3B9B" w:rsidRDefault="00525982" w:rsidP="00836A9E">
            <w:pPr>
              <w:pStyle w:val="NoSpacing"/>
              <w:cnfStyle w:val="000000100000" w:firstRow="0" w:lastRow="0" w:firstColumn="0" w:lastColumn="0" w:oddVBand="0" w:evenVBand="0" w:oddHBand="1" w:evenHBand="0" w:firstRowFirstColumn="0" w:firstRowLastColumn="0" w:lastRowFirstColumn="0" w:lastRowLastColumn="0"/>
              <w:rPr>
                <w:bCs/>
                <w:color w:val="FFFFFF" w:themeColor="background1"/>
                <w:sz w:val="18"/>
                <w:szCs w:val="18"/>
              </w:rPr>
            </w:pPr>
            <w:r w:rsidRPr="002A3B9B">
              <w:rPr>
                <w:bCs/>
                <w:color w:val="FFFFFF" w:themeColor="background1"/>
                <w:sz w:val="18"/>
                <w:szCs w:val="18"/>
              </w:rPr>
              <w:t>Type</w:t>
            </w:r>
          </w:p>
        </w:tc>
        <w:tc>
          <w:tcPr>
            <w:tcW w:w="1080" w:type="dxa"/>
            <w:tcBorders>
              <w:top w:val="nil"/>
              <w:bottom w:val="nil"/>
            </w:tcBorders>
            <w:shd w:val="clear" w:color="auto" w:fill="17365D" w:themeFill="text2" w:themeFillShade="BF"/>
          </w:tcPr>
          <w:p w14:paraId="01F94EBA" w14:textId="77777777" w:rsidR="00525982" w:rsidRPr="002A3B9B" w:rsidRDefault="00525982" w:rsidP="00836A9E">
            <w:pPr>
              <w:pStyle w:val="NoSpacing"/>
              <w:cnfStyle w:val="000000100000" w:firstRow="0" w:lastRow="0" w:firstColumn="0" w:lastColumn="0" w:oddVBand="0" w:evenVBand="0" w:oddHBand="1" w:evenHBand="0" w:firstRowFirstColumn="0" w:firstRowLastColumn="0" w:lastRowFirstColumn="0" w:lastRowLastColumn="0"/>
              <w:rPr>
                <w:bCs/>
                <w:color w:val="FFFFFF" w:themeColor="background1"/>
                <w:sz w:val="18"/>
                <w:szCs w:val="18"/>
              </w:rPr>
            </w:pPr>
            <w:r w:rsidRPr="002A3B9B">
              <w:rPr>
                <w:bCs/>
                <w:color w:val="FFFFFF" w:themeColor="background1"/>
                <w:sz w:val="18"/>
                <w:szCs w:val="18"/>
              </w:rPr>
              <w:t>$ sales</w:t>
            </w:r>
          </w:p>
        </w:tc>
        <w:tc>
          <w:tcPr>
            <w:tcW w:w="1187" w:type="dxa"/>
            <w:tcBorders>
              <w:top w:val="nil"/>
              <w:bottom w:val="nil"/>
            </w:tcBorders>
            <w:shd w:val="clear" w:color="auto" w:fill="17365D" w:themeFill="text2" w:themeFillShade="BF"/>
          </w:tcPr>
          <w:p w14:paraId="544DDCC2" w14:textId="77777777" w:rsidR="00525982" w:rsidRPr="002A3B9B" w:rsidRDefault="00525982" w:rsidP="00836A9E">
            <w:pPr>
              <w:pStyle w:val="NoSpacing"/>
              <w:cnfStyle w:val="000000100000" w:firstRow="0" w:lastRow="0" w:firstColumn="0" w:lastColumn="0" w:oddVBand="0" w:evenVBand="0" w:oddHBand="1" w:evenHBand="0" w:firstRowFirstColumn="0" w:firstRowLastColumn="0" w:lastRowFirstColumn="0" w:lastRowLastColumn="0"/>
              <w:rPr>
                <w:bCs/>
                <w:color w:val="FFFFFF" w:themeColor="background1"/>
                <w:sz w:val="18"/>
                <w:szCs w:val="18"/>
              </w:rPr>
            </w:pPr>
            <w:r w:rsidRPr="002A3B9B">
              <w:rPr>
                <w:bCs/>
                <w:color w:val="FFFFFF" w:themeColor="background1"/>
                <w:sz w:val="18"/>
                <w:szCs w:val="18"/>
              </w:rPr>
              <w:t>$ vs. YA</w:t>
            </w:r>
          </w:p>
        </w:tc>
        <w:tc>
          <w:tcPr>
            <w:tcW w:w="1333" w:type="dxa"/>
            <w:tcBorders>
              <w:top w:val="nil"/>
              <w:bottom w:val="nil"/>
            </w:tcBorders>
            <w:shd w:val="clear" w:color="auto" w:fill="17365D" w:themeFill="text2" w:themeFillShade="BF"/>
          </w:tcPr>
          <w:p w14:paraId="4A1AD83E" w14:textId="77777777" w:rsidR="00525982" w:rsidRPr="002A3B9B" w:rsidRDefault="00525982" w:rsidP="00836A9E">
            <w:pPr>
              <w:pStyle w:val="NoSpacing"/>
              <w:cnfStyle w:val="000000100000" w:firstRow="0" w:lastRow="0" w:firstColumn="0" w:lastColumn="0" w:oddVBand="0" w:evenVBand="0" w:oddHBand="1" w:evenHBand="0" w:firstRowFirstColumn="0" w:firstRowLastColumn="0" w:lastRowFirstColumn="0" w:lastRowLastColumn="0"/>
              <w:rPr>
                <w:bCs/>
                <w:color w:val="FFFFFF" w:themeColor="background1"/>
                <w:sz w:val="18"/>
                <w:szCs w:val="18"/>
              </w:rPr>
            </w:pPr>
            <w:proofErr w:type="spellStart"/>
            <w:r w:rsidRPr="002A3B9B">
              <w:rPr>
                <w:bCs/>
                <w:color w:val="FFFFFF" w:themeColor="background1"/>
                <w:sz w:val="18"/>
                <w:szCs w:val="18"/>
              </w:rPr>
              <w:t>Lbs</w:t>
            </w:r>
            <w:proofErr w:type="spellEnd"/>
            <w:r w:rsidRPr="002A3B9B">
              <w:rPr>
                <w:bCs/>
                <w:color w:val="FFFFFF" w:themeColor="background1"/>
                <w:sz w:val="18"/>
                <w:szCs w:val="18"/>
              </w:rPr>
              <w:t xml:space="preserve"> vs. YA</w:t>
            </w:r>
          </w:p>
        </w:tc>
      </w:tr>
      <w:tr w:rsidR="00DF3F44" w:rsidRPr="00094547" w14:paraId="0DF0D3D5" w14:textId="77777777" w:rsidTr="00051D8D">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65373FE0" w14:textId="0962A072" w:rsidR="00DF3F44" w:rsidRPr="000421E1" w:rsidRDefault="00DF3F44" w:rsidP="00836A9E">
            <w:pPr>
              <w:pStyle w:val="NoSpacing"/>
              <w:rPr>
                <w:color w:val="000000" w:themeColor="text1"/>
                <w:sz w:val="18"/>
                <w:szCs w:val="18"/>
              </w:rPr>
            </w:pPr>
            <w:r w:rsidRPr="000421E1">
              <w:rPr>
                <w:color w:val="000000" w:themeColor="text1"/>
                <w:sz w:val="18"/>
                <w:szCs w:val="18"/>
              </w:rPr>
              <w:t>Total fresh meat</w:t>
            </w:r>
          </w:p>
        </w:tc>
        <w:tc>
          <w:tcPr>
            <w:tcW w:w="990" w:type="dxa"/>
            <w:gridSpan w:val="2"/>
            <w:tcBorders>
              <w:top w:val="nil"/>
              <w:left w:val="nil"/>
              <w:bottom w:val="nil"/>
              <w:right w:val="nil"/>
            </w:tcBorders>
            <w:vAlign w:val="center"/>
          </w:tcPr>
          <w:p w14:paraId="139A696B" w14:textId="13671C72" w:rsidR="00DF3F44" w:rsidRPr="00C3053B" w:rsidRDefault="00DF3F44"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C3053B">
              <w:rPr>
                <w:color w:val="000000"/>
                <w:sz w:val="18"/>
                <w:szCs w:val="18"/>
              </w:rPr>
              <w:t>$</w:t>
            </w:r>
            <w:r w:rsidR="00070E3C">
              <w:rPr>
                <w:color w:val="000000"/>
                <w:sz w:val="18"/>
                <w:szCs w:val="18"/>
              </w:rPr>
              <w:t>6.1</w:t>
            </w:r>
            <w:r w:rsidRPr="00C3053B">
              <w:rPr>
                <w:color w:val="000000"/>
                <w:sz w:val="18"/>
                <w:szCs w:val="18"/>
              </w:rPr>
              <w:t>B</w:t>
            </w:r>
          </w:p>
        </w:tc>
        <w:tc>
          <w:tcPr>
            <w:tcW w:w="1075" w:type="dxa"/>
            <w:tcBorders>
              <w:top w:val="nil"/>
              <w:left w:val="nil"/>
              <w:bottom w:val="nil"/>
              <w:right w:val="nil"/>
            </w:tcBorders>
            <w:vAlign w:val="center"/>
          </w:tcPr>
          <w:p w14:paraId="25CAEDB6" w14:textId="2BFC2D1B" w:rsidR="00DF3F44" w:rsidRPr="00C3053B" w:rsidRDefault="00DF3F44"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C3053B">
              <w:rPr>
                <w:color w:val="000000"/>
                <w:sz w:val="18"/>
                <w:szCs w:val="18"/>
              </w:rPr>
              <w:t>+</w:t>
            </w:r>
            <w:r w:rsidR="00070E3C">
              <w:rPr>
                <w:color w:val="000000"/>
                <w:sz w:val="18"/>
                <w:szCs w:val="18"/>
              </w:rPr>
              <w:t>8.3</w:t>
            </w:r>
            <w:r w:rsidRPr="00C3053B">
              <w:rPr>
                <w:color w:val="000000"/>
                <w:sz w:val="18"/>
                <w:szCs w:val="18"/>
              </w:rPr>
              <w:t>%</w:t>
            </w:r>
          </w:p>
        </w:tc>
        <w:tc>
          <w:tcPr>
            <w:tcW w:w="1333" w:type="dxa"/>
            <w:tcBorders>
              <w:top w:val="nil"/>
              <w:left w:val="nil"/>
              <w:bottom w:val="nil"/>
              <w:right w:val="single" w:sz="4" w:space="0" w:color="31849B" w:themeColor="accent5" w:themeShade="BF"/>
            </w:tcBorders>
            <w:vAlign w:val="center"/>
          </w:tcPr>
          <w:p w14:paraId="750E2FAA" w14:textId="5A83DB66" w:rsidR="00DF3F44" w:rsidRPr="00C3053B" w:rsidRDefault="00DF3F44"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C3053B">
              <w:rPr>
                <w:color w:val="000000"/>
                <w:sz w:val="18"/>
                <w:szCs w:val="18"/>
              </w:rPr>
              <w:t>+</w:t>
            </w:r>
            <w:r w:rsidR="00070E3C">
              <w:rPr>
                <w:color w:val="000000"/>
                <w:sz w:val="18"/>
                <w:szCs w:val="18"/>
              </w:rPr>
              <w:t>3.0</w:t>
            </w:r>
            <w:r w:rsidRPr="00C3053B">
              <w:rPr>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3C4770B6" w14:textId="5C41D3DF" w:rsidR="00DF3F44" w:rsidRPr="000421E1" w:rsidRDefault="00DF3F44"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0421E1">
              <w:rPr>
                <w:bCs/>
                <w:color w:val="000000" w:themeColor="text1"/>
                <w:sz w:val="18"/>
                <w:szCs w:val="18"/>
              </w:rPr>
              <w:t>Total fresh meat</w:t>
            </w:r>
          </w:p>
        </w:tc>
        <w:tc>
          <w:tcPr>
            <w:tcW w:w="1080" w:type="dxa"/>
            <w:tcBorders>
              <w:top w:val="nil"/>
              <w:left w:val="nil"/>
              <w:bottom w:val="nil"/>
              <w:right w:val="nil"/>
            </w:tcBorders>
            <w:vAlign w:val="center"/>
          </w:tcPr>
          <w:p w14:paraId="1BBBDBF3" w14:textId="640C6E70" w:rsidR="00DF3F44" w:rsidRPr="00C3053B" w:rsidRDefault="00DF3F44"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C3053B">
              <w:rPr>
                <w:color w:val="000000"/>
                <w:sz w:val="18"/>
                <w:szCs w:val="18"/>
              </w:rPr>
              <w:t>$</w:t>
            </w:r>
            <w:r w:rsidR="00070E3C">
              <w:rPr>
                <w:color w:val="000000"/>
                <w:sz w:val="18"/>
                <w:szCs w:val="18"/>
              </w:rPr>
              <w:t>76.6</w:t>
            </w:r>
            <w:r w:rsidRPr="00C3053B">
              <w:rPr>
                <w:color w:val="000000"/>
                <w:sz w:val="18"/>
                <w:szCs w:val="18"/>
              </w:rPr>
              <w:t>B</w:t>
            </w:r>
          </w:p>
        </w:tc>
        <w:tc>
          <w:tcPr>
            <w:tcW w:w="1187" w:type="dxa"/>
            <w:tcBorders>
              <w:top w:val="nil"/>
              <w:left w:val="nil"/>
              <w:bottom w:val="nil"/>
              <w:right w:val="nil"/>
            </w:tcBorders>
            <w:vAlign w:val="center"/>
          </w:tcPr>
          <w:p w14:paraId="10F1A6FD" w14:textId="26A85B2C" w:rsidR="00DF3F44" w:rsidRPr="00C3053B" w:rsidRDefault="00EC1479"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Pr>
                <w:color w:val="000000"/>
                <w:sz w:val="18"/>
                <w:szCs w:val="18"/>
              </w:rPr>
              <w:t>+</w:t>
            </w:r>
            <w:r w:rsidR="00070E3C">
              <w:rPr>
                <w:color w:val="000000"/>
                <w:sz w:val="18"/>
                <w:szCs w:val="18"/>
              </w:rPr>
              <w:t>8.9</w:t>
            </w:r>
            <w:r w:rsidR="00DF3F44" w:rsidRPr="00C3053B">
              <w:rPr>
                <w:color w:val="000000"/>
                <w:sz w:val="18"/>
                <w:szCs w:val="18"/>
              </w:rPr>
              <w:t>%</w:t>
            </w:r>
          </w:p>
        </w:tc>
        <w:tc>
          <w:tcPr>
            <w:tcW w:w="1333" w:type="dxa"/>
            <w:tcBorders>
              <w:top w:val="nil"/>
              <w:left w:val="nil"/>
              <w:bottom w:val="nil"/>
            </w:tcBorders>
            <w:vAlign w:val="center"/>
          </w:tcPr>
          <w:p w14:paraId="219FE3BF" w14:textId="273A7420" w:rsidR="00DF3F44" w:rsidRPr="00C3053B" w:rsidRDefault="00DF3F44"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C3053B">
              <w:rPr>
                <w:color w:val="000000"/>
                <w:sz w:val="18"/>
                <w:szCs w:val="18"/>
              </w:rPr>
              <w:t>+</w:t>
            </w:r>
            <w:r w:rsidR="00070E3C">
              <w:rPr>
                <w:color w:val="000000"/>
                <w:sz w:val="18"/>
                <w:szCs w:val="18"/>
              </w:rPr>
              <w:t>4.2</w:t>
            </w:r>
            <w:r w:rsidRPr="00C3053B">
              <w:rPr>
                <w:color w:val="000000"/>
                <w:sz w:val="18"/>
                <w:szCs w:val="18"/>
              </w:rPr>
              <w:t>%</w:t>
            </w:r>
          </w:p>
        </w:tc>
      </w:tr>
      <w:tr w:rsidR="00EC1479" w:rsidRPr="002A3B9B" w14:paraId="5325D920" w14:textId="77777777" w:rsidTr="008C536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AFB43C1" w14:textId="716B0B8A" w:rsidR="00EC1479" w:rsidRPr="000421E1" w:rsidRDefault="00EC1479" w:rsidP="00836A9E">
            <w:pPr>
              <w:pStyle w:val="NoSpacing"/>
              <w:rPr>
                <w:b w:val="0"/>
                <w:color w:val="000000" w:themeColor="text1"/>
                <w:sz w:val="18"/>
                <w:szCs w:val="18"/>
              </w:rPr>
            </w:pPr>
            <w:r w:rsidRPr="000421E1">
              <w:rPr>
                <w:b w:val="0"/>
                <w:color w:val="000000" w:themeColor="text1"/>
                <w:sz w:val="18"/>
                <w:szCs w:val="18"/>
              </w:rPr>
              <w:t>Fresh beef</w:t>
            </w:r>
          </w:p>
        </w:tc>
        <w:tc>
          <w:tcPr>
            <w:tcW w:w="990" w:type="dxa"/>
            <w:gridSpan w:val="2"/>
            <w:tcBorders>
              <w:top w:val="nil"/>
              <w:bottom w:val="nil"/>
            </w:tcBorders>
            <w:shd w:val="clear" w:color="auto" w:fill="D9D9D9" w:themeFill="background1" w:themeFillShade="D9"/>
          </w:tcPr>
          <w:p w14:paraId="446337DA" w14:textId="3799B71B"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5793">
              <w:rPr>
                <w:color w:val="auto"/>
                <w:sz w:val="18"/>
                <w:szCs w:val="18"/>
              </w:rPr>
              <w:t>$</w:t>
            </w:r>
            <w:r w:rsidR="00070E3C">
              <w:rPr>
                <w:color w:val="auto"/>
                <w:sz w:val="18"/>
                <w:szCs w:val="18"/>
              </w:rPr>
              <w:t>3.5</w:t>
            </w:r>
            <w:r w:rsidRPr="00325793">
              <w:rPr>
                <w:color w:val="auto"/>
                <w:sz w:val="18"/>
                <w:szCs w:val="18"/>
              </w:rPr>
              <w:t>M</w:t>
            </w:r>
          </w:p>
        </w:tc>
        <w:tc>
          <w:tcPr>
            <w:tcW w:w="1075" w:type="dxa"/>
            <w:tcBorders>
              <w:top w:val="nil"/>
              <w:bottom w:val="nil"/>
            </w:tcBorders>
            <w:shd w:val="clear" w:color="auto" w:fill="D9D9D9" w:themeFill="background1" w:themeFillShade="D9"/>
          </w:tcPr>
          <w:p w14:paraId="2D628009" w14:textId="3C52BF84"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D77980">
              <w:rPr>
                <w:color w:val="000000"/>
                <w:sz w:val="18"/>
                <w:szCs w:val="18"/>
              </w:rPr>
              <w:t>+</w:t>
            </w:r>
            <w:r w:rsidR="00070E3C">
              <w:rPr>
                <w:color w:val="000000"/>
                <w:sz w:val="18"/>
                <w:szCs w:val="18"/>
              </w:rPr>
              <w:t>10.4</w:t>
            </w:r>
            <w:r w:rsidRPr="00D77980">
              <w:rPr>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36D6AAF1" w14:textId="0796FF03"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D77980">
              <w:rPr>
                <w:color w:val="000000"/>
                <w:sz w:val="18"/>
                <w:szCs w:val="18"/>
              </w:rPr>
              <w:t>+</w:t>
            </w:r>
            <w:r w:rsidR="00070E3C">
              <w:rPr>
                <w:color w:val="000000"/>
                <w:sz w:val="18"/>
                <w:szCs w:val="18"/>
              </w:rPr>
              <w:t>3.5</w:t>
            </w:r>
            <w:r w:rsidRPr="00D77980">
              <w:rPr>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6468B8F0" w14:textId="50F6BFEF"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0421E1">
              <w:rPr>
                <w:color w:val="000000" w:themeColor="text1"/>
                <w:sz w:val="18"/>
                <w:szCs w:val="18"/>
              </w:rPr>
              <w:t>Fresh beef</w:t>
            </w:r>
          </w:p>
        </w:tc>
        <w:tc>
          <w:tcPr>
            <w:tcW w:w="1080" w:type="dxa"/>
            <w:tcBorders>
              <w:top w:val="nil"/>
              <w:bottom w:val="nil"/>
            </w:tcBorders>
            <w:shd w:val="clear" w:color="auto" w:fill="D9D9D9" w:themeFill="background1" w:themeFillShade="D9"/>
            <w:vAlign w:val="center"/>
          </w:tcPr>
          <w:p w14:paraId="208BC3C7" w14:textId="15909E93"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D0E91">
              <w:rPr>
                <w:color w:val="000000"/>
                <w:sz w:val="18"/>
                <w:szCs w:val="18"/>
              </w:rPr>
              <w:t>$</w:t>
            </w:r>
            <w:r w:rsidR="00070E3C">
              <w:rPr>
                <w:color w:val="000000"/>
                <w:sz w:val="18"/>
                <w:szCs w:val="18"/>
              </w:rPr>
              <w:t>42.8</w:t>
            </w:r>
            <w:r w:rsidRPr="008D0E91">
              <w:rPr>
                <w:color w:val="000000"/>
                <w:sz w:val="18"/>
                <w:szCs w:val="18"/>
              </w:rPr>
              <w:t>B</w:t>
            </w:r>
          </w:p>
        </w:tc>
        <w:tc>
          <w:tcPr>
            <w:tcW w:w="1187" w:type="dxa"/>
            <w:tcBorders>
              <w:top w:val="nil"/>
              <w:bottom w:val="nil"/>
            </w:tcBorders>
            <w:shd w:val="clear" w:color="auto" w:fill="D9D9D9" w:themeFill="background1" w:themeFillShade="D9"/>
          </w:tcPr>
          <w:p w14:paraId="2CE2750C" w14:textId="5D8BA2E6"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28E1">
              <w:rPr>
                <w:color w:val="000000"/>
                <w:sz w:val="18"/>
                <w:szCs w:val="18"/>
              </w:rPr>
              <w:t>+</w:t>
            </w:r>
            <w:r w:rsidR="00070E3C">
              <w:rPr>
                <w:color w:val="000000"/>
                <w:sz w:val="18"/>
                <w:szCs w:val="18"/>
              </w:rPr>
              <w:t>12.5</w:t>
            </w:r>
            <w:r w:rsidRPr="001828E1">
              <w:rPr>
                <w:color w:val="000000"/>
                <w:sz w:val="18"/>
                <w:szCs w:val="18"/>
              </w:rPr>
              <w:t>%</w:t>
            </w:r>
          </w:p>
        </w:tc>
        <w:tc>
          <w:tcPr>
            <w:tcW w:w="1333" w:type="dxa"/>
            <w:tcBorders>
              <w:top w:val="nil"/>
              <w:bottom w:val="nil"/>
            </w:tcBorders>
            <w:shd w:val="clear" w:color="auto" w:fill="D9D9D9" w:themeFill="background1" w:themeFillShade="D9"/>
          </w:tcPr>
          <w:p w14:paraId="06B11957" w14:textId="6BD60864"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28E1">
              <w:rPr>
                <w:color w:val="000000"/>
                <w:sz w:val="18"/>
                <w:szCs w:val="18"/>
              </w:rPr>
              <w:t>+</w:t>
            </w:r>
            <w:r w:rsidR="00070E3C">
              <w:rPr>
                <w:color w:val="000000"/>
                <w:sz w:val="18"/>
                <w:szCs w:val="18"/>
              </w:rPr>
              <w:t>6.6</w:t>
            </w:r>
            <w:r w:rsidRPr="001828E1">
              <w:rPr>
                <w:color w:val="000000"/>
                <w:sz w:val="18"/>
                <w:szCs w:val="18"/>
              </w:rPr>
              <w:t>%</w:t>
            </w:r>
          </w:p>
        </w:tc>
      </w:tr>
      <w:tr w:rsidR="00EC1479" w:rsidRPr="002A3B9B" w14:paraId="290F85FA" w14:textId="77777777" w:rsidTr="008C536A">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6E077524" w14:textId="3B0D5F56" w:rsidR="00EC1479" w:rsidRPr="000421E1" w:rsidRDefault="00EC1479" w:rsidP="00836A9E">
            <w:pPr>
              <w:pStyle w:val="NoSpacing"/>
              <w:rPr>
                <w:b w:val="0"/>
                <w:color w:val="000000" w:themeColor="text1"/>
                <w:sz w:val="18"/>
                <w:szCs w:val="18"/>
              </w:rPr>
            </w:pPr>
            <w:r w:rsidRPr="000421E1">
              <w:rPr>
                <w:b w:val="0"/>
                <w:color w:val="000000" w:themeColor="text1"/>
                <w:sz w:val="18"/>
                <w:szCs w:val="18"/>
              </w:rPr>
              <w:t>Fresh chicken</w:t>
            </w:r>
          </w:p>
        </w:tc>
        <w:tc>
          <w:tcPr>
            <w:tcW w:w="990" w:type="dxa"/>
            <w:gridSpan w:val="2"/>
            <w:tcBorders>
              <w:top w:val="nil"/>
              <w:left w:val="nil"/>
              <w:bottom w:val="nil"/>
              <w:right w:val="nil"/>
            </w:tcBorders>
          </w:tcPr>
          <w:p w14:paraId="2F25E216" w14:textId="36C623AF" w:rsidR="00EC1479" w:rsidRPr="000421E1" w:rsidRDefault="00EC1479" w:rsidP="00836A9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25793">
              <w:rPr>
                <w:color w:val="auto"/>
                <w:sz w:val="18"/>
                <w:szCs w:val="18"/>
              </w:rPr>
              <w:t>$</w:t>
            </w:r>
            <w:r w:rsidR="00070E3C">
              <w:rPr>
                <w:color w:val="auto"/>
                <w:sz w:val="18"/>
                <w:szCs w:val="18"/>
              </w:rPr>
              <w:t>1.6</w:t>
            </w:r>
            <w:r w:rsidRPr="00325793">
              <w:rPr>
                <w:color w:val="auto"/>
                <w:sz w:val="18"/>
                <w:szCs w:val="18"/>
              </w:rPr>
              <w:t>M</w:t>
            </w:r>
          </w:p>
        </w:tc>
        <w:tc>
          <w:tcPr>
            <w:tcW w:w="1075" w:type="dxa"/>
            <w:tcBorders>
              <w:top w:val="nil"/>
              <w:left w:val="nil"/>
              <w:bottom w:val="nil"/>
              <w:right w:val="nil"/>
            </w:tcBorders>
          </w:tcPr>
          <w:p w14:paraId="5B5F3125" w14:textId="1D8F9DD6" w:rsidR="00EC1479" w:rsidRPr="000421E1" w:rsidRDefault="00EC1479" w:rsidP="00836A9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77980">
              <w:rPr>
                <w:color w:val="000000"/>
                <w:sz w:val="18"/>
                <w:szCs w:val="18"/>
              </w:rPr>
              <w:t>+</w:t>
            </w:r>
            <w:r w:rsidR="00070E3C">
              <w:rPr>
                <w:color w:val="000000"/>
                <w:sz w:val="18"/>
                <w:szCs w:val="18"/>
              </w:rPr>
              <w:t>7.6</w:t>
            </w:r>
            <w:r w:rsidRPr="00D77980">
              <w:rPr>
                <w:color w:val="000000"/>
                <w:sz w:val="18"/>
                <w:szCs w:val="18"/>
              </w:rPr>
              <w:t>%</w:t>
            </w:r>
          </w:p>
        </w:tc>
        <w:tc>
          <w:tcPr>
            <w:tcW w:w="1333" w:type="dxa"/>
            <w:tcBorders>
              <w:top w:val="nil"/>
              <w:left w:val="nil"/>
              <w:bottom w:val="nil"/>
              <w:right w:val="single" w:sz="4" w:space="0" w:color="31849B" w:themeColor="accent5" w:themeShade="BF"/>
            </w:tcBorders>
          </w:tcPr>
          <w:p w14:paraId="6DED3965" w14:textId="305D97FD" w:rsidR="00EC1479" w:rsidRPr="000421E1" w:rsidRDefault="00EC1479" w:rsidP="00836A9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77980">
              <w:rPr>
                <w:color w:val="000000"/>
                <w:sz w:val="18"/>
                <w:szCs w:val="18"/>
              </w:rPr>
              <w:t>+</w:t>
            </w:r>
            <w:r w:rsidR="00070E3C">
              <w:rPr>
                <w:color w:val="000000"/>
                <w:sz w:val="18"/>
                <w:szCs w:val="18"/>
              </w:rPr>
              <w:t>2.6</w:t>
            </w:r>
            <w:r w:rsidRPr="00D77980">
              <w:rPr>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40BFD98B" w14:textId="7192D2A7" w:rsidR="00EC1479" w:rsidRPr="000421E1" w:rsidRDefault="00EC1479"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0421E1">
              <w:rPr>
                <w:color w:val="000000" w:themeColor="text1"/>
                <w:sz w:val="18"/>
                <w:szCs w:val="18"/>
              </w:rPr>
              <w:t>Fresh chicken</w:t>
            </w:r>
          </w:p>
        </w:tc>
        <w:tc>
          <w:tcPr>
            <w:tcW w:w="1080" w:type="dxa"/>
            <w:tcBorders>
              <w:top w:val="nil"/>
              <w:left w:val="nil"/>
              <w:bottom w:val="nil"/>
              <w:right w:val="nil"/>
            </w:tcBorders>
            <w:vAlign w:val="center"/>
          </w:tcPr>
          <w:p w14:paraId="1B097B18" w14:textId="4970F28A" w:rsidR="00EC1479" w:rsidRPr="000421E1" w:rsidRDefault="00EC1479" w:rsidP="00836A9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D0E91">
              <w:rPr>
                <w:color w:val="000000"/>
                <w:sz w:val="18"/>
                <w:szCs w:val="18"/>
              </w:rPr>
              <w:t>$</w:t>
            </w:r>
            <w:r w:rsidR="00070E3C">
              <w:rPr>
                <w:color w:val="000000"/>
                <w:sz w:val="18"/>
                <w:szCs w:val="18"/>
              </w:rPr>
              <w:t>20.2</w:t>
            </w:r>
            <w:r w:rsidRPr="008D0E91">
              <w:rPr>
                <w:color w:val="000000"/>
                <w:sz w:val="18"/>
                <w:szCs w:val="18"/>
              </w:rPr>
              <w:t>B</w:t>
            </w:r>
          </w:p>
        </w:tc>
        <w:tc>
          <w:tcPr>
            <w:tcW w:w="1187" w:type="dxa"/>
            <w:tcBorders>
              <w:top w:val="nil"/>
              <w:left w:val="nil"/>
              <w:bottom w:val="nil"/>
              <w:right w:val="nil"/>
            </w:tcBorders>
          </w:tcPr>
          <w:p w14:paraId="55C41A24" w14:textId="6B5D5EEB" w:rsidR="00EC1479" w:rsidRPr="000421E1" w:rsidRDefault="00EC1479" w:rsidP="00836A9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28E1">
              <w:rPr>
                <w:color w:val="000000"/>
                <w:sz w:val="18"/>
                <w:szCs w:val="18"/>
              </w:rPr>
              <w:t>+</w:t>
            </w:r>
            <w:r w:rsidR="00070E3C">
              <w:rPr>
                <w:color w:val="000000"/>
                <w:sz w:val="18"/>
                <w:szCs w:val="18"/>
              </w:rPr>
              <w:t>6.1</w:t>
            </w:r>
            <w:r w:rsidRPr="001828E1">
              <w:rPr>
                <w:color w:val="000000"/>
                <w:sz w:val="18"/>
                <w:szCs w:val="18"/>
              </w:rPr>
              <w:t>%</w:t>
            </w:r>
          </w:p>
        </w:tc>
        <w:tc>
          <w:tcPr>
            <w:tcW w:w="1333" w:type="dxa"/>
            <w:tcBorders>
              <w:top w:val="nil"/>
              <w:left w:val="nil"/>
              <w:bottom w:val="nil"/>
            </w:tcBorders>
          </w:tcPr>
          <w:p w14:paraId="5F2BA96C" w14:textId="0661D0D1" w:rsidR="00EC1479" w:rsidRPr="000421E1" w:rsidRDefault="00EC1479" w:rsidP="00836A9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28E1">
              <w:rPr>
                <w:color w:val="000000"/>
                <w:sz w:val="18"/>
                <w:szCs w:val="18"/>
              </w:rPr>
              <w:t>+</w:t>
            </w:r>
            <w:r w:rsidR="00070E3C">
              <w:rPr>
                <w:color w:val="000000"/>
                <w:sz w:val="18"/>
                <w:szCs w:val="18"/>
              </w:rPr>
              <w:t>3.3</w:t>
            </w:r>
            <w:r w:rsidRPr="001828E1">
              <w:rPr>
                <w:color w:val="000000"/>
                <w:sz w:val="18"/>
                <w:szCs w:val="18"/>
              </w:rPr>
              <w:t>%</w:t>
            </w:r>
          </w:p>
        </w:tc>
      </w:tr>
      <w:tr w:rsidR="00EC1479" w:rsidRPr="002A3B9B" w14:paraId="2438D659" w14:textId="77777777" w:rsidTr="008C536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3939752" w14:textId="2626B109" w:rsidR="00EC1479" w:rsidRPr="000421E1" w:rsidRDefault="00EC1479" w:rsidP="00836A9E">
            <w:pPr>
              <w:pStyle w:val="NoSpacing"/>
              <w:rPr>
                <w:b w:val="0"/>
                <w:color w:val="000000" w:themeColor="text1"/>
                <w:sz w:val="18"/>
                <w:szCs w:val="18"/>
              </w:rPr>
            </w:pPr>
            <w:r w:rsidRPr="000421E1">
              <w:rPr>
                <w:b w:val="0"/>
                <w:color w:val="000000" w:themeColor="text1"/>
                <w:sz w:val="18"/>
                <w:szCs w:val="18"/>
              </w:rPr>
              <w:t>Fresh pork</w:t>
            </w:r>
          </w:p>
        </w:tc>
        <w:tc>
          <w:tcPr>
            <w:tcW w:w="990" w:type="dxa"/>
            <w:gridSpan w:val="2"/>
            <w:tcBorders>
              <w:top w:val="nil"/>
              <w:bottom w:val="nil"/>
            </w:tcBorders>
            <w:shd w:val="clear" w:color="auto" w:fill="D9D9D9" w:themeFill="background1" w:themeFillShade="D9"/>
          </w:tcPr>
          <w:p w14:paraId="6020F3E9" w14:textId="7889B778" w:rsidR="00EC1479" w:rsidRPr="000D0537" w:rsidRDefault="00EC1479" w:rsidP="00836A9E">
            <w:pPr>
              <w:pStyle w:val="NoSpacing"/>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25793">
              <w:rPr>
                <w:color w:val="auto"/>
                <w:sz w:val="18"/>
                <w:szCs w:val="18"/>
              </w:rPr>
              <w:t>$</w:t>
            </w:r>
            <w:r w:rsidR="00070E3C">
              <w:rPr>
                <w:color w:val="auto"/>
                <w:sz w:val="18"/>
                <w:szCs w:val="18"/>
              </w:rPr>
              <w:t>702</w:t>
            </w:r>
            <w:r w:rsidRPr="00325793">
              <w:rPr>
                <w:color w:val="auto"/>
                <w:sz w:val="18"/>
                <w:szCs w:val="18"/>
              </w:rPr>
              <w:t>M</w:t>
            </w:r>
          </w:p>
        </w:tc>
        <w:tc>
          <w:tcPr>
            <w:tcW w:w="1075" w:type="dxa"/>
            <w:tcBorders>
              <w:top w:val="nil"/>
              <w:bottom w:val="nil"/>
            </w:tcBorders>
            <w:shd w:val="clear" w:color="auto" w:fill="D9D9D9" w:themeFill="background1" w:themeFillShade="D9"/>
          </w:tcPr>
          <w:p w14:paraId="6B3A2AA7" w14:textId="48B16AB3"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D77980">
              <w:rPr>
                <w:color w:val="000000"/>
                <w:sz w:val="18"/>
                <w:szCs w:val="18"/>
              </w:rPr>
              <w:t>+</w:t>
            </w:r>
            <w:r w:rsidR="00070E3C">
              <w:rPr>
                <w:color w:val="000000"/>
                <w:sz w:val="18"/>
                <w:szCs w:val="18"/>
              </w:rPr>
              <w:t>2.1</w:t>
            </w:r>
            <w:r w:rsidRPr="00D77980">
              <w:rPr>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31832FEC" w14:textId="43E1F8B4"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D77980">
              <w:rPr>
                <w:color w:val="000000"/>
                <w:sz w:val="18"/>
                <w:szCs w:val="18"/>
              </w:rPr>
              <w:t>+</w:t>
            </w:r>
            <w:r w:rsidR="00070E3C">
              <w:rPr>
                <w:color w:val="000000"/>
                <w:sz w:val="18"/>
                <w:szCs w:val="18"/>
              </w:rPr>
              <w:t>3.7</w:t>
            </w:r>
            <w:r w:rsidRPr="00D77980">
              <w:rPr>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10D22FE7" w14:textId="5B13D9B1"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0421E1">
              <w:rPr>
                <w:color w:val="000000" w:themeColor="text1"/>
                <w:sz w:val="18"/>
                <w:szCs w:val="18"/>
              </w:rPr>
              <w:t>Fresh pork</w:t>
            </w:r>
          </w:p>
        </w:tc>
        <w:tc>
          <w:tcPr>
            <w:tcW w:w="1080" w:type="dxa"/>
            <w:tcBorders>
              <w:top w:val="nil"/>
              <w:bottom w:val="nil"/>
            </w:tcBorders>
            <w:shd w:val="clear" w:color="auto" w:fill="D9D9D9" w:themeFill="background1" w:themeFillShade="D9"/>
            <w:vAlign w:val="center"/>
          </w:tcPr>
          <w:p w14:paraId="6A84691D" w14:textId="7ABB587E"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D0E91">
              <w:rPr>
                <w:color w:val="000000"/>
                <w:sz w:val="18"/>
                <w:szCs w:val="18"/>
              </w:rPr>
              <w:t>$</w:t>
            </w:r>
            <w:r w:rsidR="00070E3C">
              <w:rPr>
                <w:color w:val="000000"/>
                <w:sz w:val="18"/>
                <w:szCs w:val="18"/>
              </w:rPr>
              <w:t>8.6</w:t>
            </w:r>
            <w:r w:rsidRPr="008D0E91">
              <w:rPr>
                <w:color w:val="000000"/>
                <w:sz w:val="18"/>
                <w:szCs w:val="18"/>
              </w:rPr>
              <w:t>B</w:t>
            </w:r>
          </w:p>
        </w:tc>
        <w:tc>
          <w:tcPr>
            <w:tcW w:w="1187" w:type="dxa"/>
            <w:tcBorders>
              <w:top w:val="nil"/>
              <w:bottom w:val="nil"/>
            </w:tcBorders>
            <w:shd w:val="clear" w:color="auto" w:fill="D9D9D9" w:themeFill="background1" w:themeFillShade="D9"/>
          </w:tcPr>
          <w:p w14:paraId="74C16036" w14:textId="555DF1DF"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28E1">
              <w:rPr>
                <w:color w:val="000000"/>
                <w:sz w:val="18"/>
                <w:szCs w:val="18"/>
              </w:rPr>
              <w:t>+</w:t>
            </w:r>
            <w:r w:rsidR="00070E3C">
              <w:rPr>
                <w:color w:val="000000"/>
                <w:sz w:val="18"/>
                <w:szCs w:val="18"/>
              </w:rPr>
              <w:t>4.0</w:t>
            </w:r>
            <w:r w:rsidRPr="001828E1">
              <w:rPr>
                <w:color w:val="000000"/>
                <w:sz w:val="18"/>
                <w:szCs w:val="18"/>
              </w:rPr>
              <w:t>%</w:t>
            </w:r>
          </w:p>
        </w:tc>
        <w:tc>
          <w:tcPr>
            <w:tcW w:w="1333" w:type="dxa"/>
            <w:tcBorders>
              <w:top w:val="nil"/>
              <w:bottom w:val="nil"/>
            </w:tcBorders>
            <w:shd w:val="clear" w:color="auto" w:fill="D9D9D9" w:themeFill="background1" w:themeFillShade="D9"/>
          </w:tcPr>
          <w:p w14:paraId="39950049" w14:textId="737E3BD7"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28E1">
              <w:rPr>
                <w:color w:val="000000"/>
                <w:sz w:val="18"/>
                <w:szCs w:val="18"/>
              </w:rPr>
              <w:t>+</w:t>
            </w:r>
            <w:r w:rsidR="00070E3C">
              <w:rPr>
                <w:color w:val="000000"/>
                <w:sz w:val="18"/>
                <w:szCs w:val="18"/>
              </w:rPr>
              <w:t>2.5</w:t>
            </w:r>
            <w:r w:rsidRPr="001828E1">
              <w:rPr>
                <w:color w:val="000000"/>
                <w:sz w:val="18"/>
                <w:szCs w:val="18"/>
              </w:rPr>
              <w:t>%</w:t>
            </w:r>
          </w:p>
        </w:tc>
      </w:tr>
      <w:tr w:rsidR="00EC1479" w:rsidRPr="002A3B9B" w14:paraId="72538FA9" w14:textId="77777777" w:rsidTr="008C536A">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3383E867" w14:textId="5E723F7B" w:rsidR="00EC1479" w:rsidRPr="000421E1" w:rsidRDefault="00EC1479" w:rsidP="00836A9E">
            <w:pPr>
              <w:pStyle w:val="NoSpacing"/>
              <w:rPr>
                <w:b w:val="0"/>
                <w:color w:val="000000" w:themeColor="text1"/>
                <w:sz w:val="18"/>
                <w:szCs w:val="18"/>
              </w:rPr>
            </w:pPr>
            <w:r w:rsidRPr="000421E1">
              <w:rPr>
                <w:b w:val="0"/>
                <w:color w:val="000000" w:themeColor="text1"/>
                <w:sz w:val="18"/>
                <w:szCs w:val="18"/>
              </w:rPr>
              <w:t>Fresh turkey</w:t>
            </w:r>
          </w:p>
        </w:tc>
        <w:tc>
          <w:tcPr>
            <w:tcW w:w="990" w:type="dxa"/>
            <w:gridSpan w:val="2"/>
            <w:tcBorders>
              <w:top w:val="nil"/>
              <w:left w:val="nil"/>
              <w:bottom w:val="nil"/>
              <w:right w:val="nil"/>
            </w:tcBorders>
          </w:tcPr>
          <w:p w14:paraId="6677899D" w14:textId="6A1502DE" w:rsidR="00EC1479" w:rsidRPr="000D0537" w:rsidRDefault="00EC1479" w:rsidP="00836A9E">
            <w:pPr>
              <w:pStyle w:val="NoSpacing"/>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25793">
              <w:rPr>
                <w:color w:val="auto"/>
                <w:sz w:val="18"/>
                <w:szCs w:val="18"/>
              </w:rPr>
              <w:t>$</w:t>
            </w:r>
            <w:r w:rsidR="00070E3C">
              <w:rPr>
                <w:color w:val="auto"/>
                <w:sz w:val="18"/>
                <w:szCs w:val="18"/>
              </w:rPr>
              <w:t>181</w:t>
            </w:r>
            <w:r w:rsidRPr="00325793">
              <w:rPr>
                <w:color w:val="auto"/>
                <w:sz w:val="18"/>
                <w:szCs w:val="18"/>
              </w:rPr>
              <w:t>M</w:t>
            </w:r>
          </w:p>
        </w:tc>
        <w:tc>
          <w:tcPr>
            <w:tcW w:w="1075" w:type="dxa"/>
            <w:tcBorders>
              <w:top w:val="nil"/>
              <w:left w:val="nil"/>
              <w:bottom w:val="nil"/>
              <w:right w:val="nil"/>
            </w:tcBorders>
          </w:tcPr>
          <w:p w14:paraId="12E72FD8" w14:textId="772D4DA3" w:rsidR="00EC1479" w:rsidRPr="000421E1" w:rsidRDefault="00EC1479"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D77980">
              <w:rPr>
                <w:color w:val="000000"/>
                <w:sz w:val="18"/>
                <w:szCs w:val="18"/>
              </w:rPr>
              <w:t>+</w:t>
            </w:r>
            <w:r w:rsidR="00070E3C">
              <w:rPr>
                <w:color w:val="000000"/>
                <w:sz w:val="18"/>
                <w:szCs w:val="18"/>
              </w:rPr>
              <w:t>3.8</w:t>
            </w:r>
            <w:r w:rsidRPr="00D77980">
              <w:rPr>
                <w:color w:val="000000"/>
                <w:sz w:val="18"/>
                <w:szCs w:val="18"/>
              </w:rPr>
              <w:t>%</w:t>
            </w:r>
          </w:p>
        </w:tc>
        <w:tc>
          <w:tcPr>
            <w:tcW w:w="1333" w:type="dxa"/>
            <w:tcBorders>
              <w:top w:val="nil"/>
              <w:left w:val="nil"/>
              <w:bottom w:val="nil"/>
              <w:right w:val="single" w:sz="4" w:space="0" w:color="31849B" w:themeColor="accent5" w:themeShade="BF"/>
            </w:tcBorders>
          </w:tcPr>
          <w:p w14:paraId="4A2322D9" w14:textId="7089363E" w:rsidR="00EC1479" w:rsidRPr="000421E1" w:rsidRDefault="00070E3C"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Pr>
                <w:color w:val="000000"/>
                <w:sz w:val="18"/>
                <w:szCs w:val="18"/>
              </w:rPr>
              <w:t>-2.3</w:t>
            </w:r>
            <w:r w:rsidR="00EC1479" w:rsidRPr="00D77980">
              <w:rPr>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40FCAD35" w14:textId="60E91D91" w:rsidR="00EC1479" w:rsidRPr="000421E1" w:rsidRDefault="00EC1479"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0421E1">
              <w:rPr>
                <w:color w:val="000000" w:themeColor="text1"/>
                <w:sz w:val="18"/>
                <w:szCs w:val="18"/>
              </w:rPr>
              <w:t>Fresh turkey</w:t>
            </w:r>
          </w:p>
        </w:tc>
        <w:tc>
          <w:tcPr>
            <w:tcW w:w="1080" w:type="dxa"/>
            <w:tcBorders>
              <w:top w:val="nil"/>
              <w:left w:val="nil"/>
              <w:bottom w:val="nil"/>
              <w:right w:val="nil"/>
            </w:tcBorders>
            <w:vAlign w:val="center"/>
          </w:tcPr>
          <w:p w14:paraId="388DA3F2" w14:textId="19235299" w:rsidR="00EC1479" w:rsidRPr="000421E1" w:rsidRDefault="00EC1479" w:rsidP="00836A9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D0E91">
              <w:rPr>
                <w:color w:val="000000"/>
                <w:sz w:val="18"/>
                <w:szCs w:val="18"/>
              </w:rPr>
              <w:t>$</w:t>
            </w:r>
            <w:r w:rsidR="00070E3C">
              <w:rPr>
                <w:color w:val="000000"/>
                <w:sz w:val="18"/>
                <w:szCs w:val="18"/>
              </w:rPr>
              <w:t>3.3</w:t>
            </w:r>
            <w:r w:rsidRPr="008D0E91">
              <w:rPr>
                <w:color w:val="000000"/>
                <w:sz w:val="18"/>
                <w:szCs w:val="18"/>
              </w:rPr>
              <w:t>B</w:t>
            </w:r>
          </w:p>
        </w:tc>
        <w:tc>
          <w:tcPr>
            <w:tcW w:w="1187" w:type="dxa"/>
            <w:tcBorders>
              <w:top w:val="nil"/>
              <w:left w:val="nil"/>
              <w:bottom w:val="nil"/>
              <w:right w:val="nil"/>
            </w:tcBorders>
          </w:tcPr>
          <w:p w14:paraId="2CD73EA7" w14:textId="371B923E" w:rsidR="00EC1479" w:rsidRPr="000421E1" w:rsidRDefault="00070E3C" w:rsidP="00836A9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sz w:val="18"/>
                <w:szCs w:val="18"/>
              </w:rPr>
              <w:t>-0.2</w:t>
            </w:r>
            <w:r w:rsidR="00EC1479" w:rsidRPr="001828E1">
              <w:rPr>
                <w:color w:val="000000"/>
                <w:sz w:val="18"/>
                <w:szCs w:val="18"/>
              </w:rPr>
              <w:t>%</w:t>
            </w:r>
          </w:p>
        </w:tc>
        <w:tc>
          <w:tcPr>
            <w:tcW w:w="1333" w:type="dxa"/>
            <w:tcBorders>
              <w:top w:val="nil"/>
              <w:left w:val="nil"/>
              <w:bottom w:val="nil"/>
            </w:tcBorders>
          </w:tcPr>
          <w:p w14:paraId="588B47EF" w14:textId="087F5013" w:rsidR="00EC1479" w:rsidRPr="000421E1" w:rsidRDefault="00EC1479" w:rsidP="00836A9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828E1">
              <w:rPr>
                <w:color w:val="000000"/>
                <w:sz w:val="18"/>
                <w:szCs w:val="18"/>
              </w:rPr>
              <w:t>+</w:t>
            </w:r>
            <w:r w:rsidR="00070E3C">
              <w:rPr>
                <w:color w:val="000000"/>
                <w:sz w:val="18"/>
                <w:szCs w:val="18"/>
              </w:rPr>
              <w:t>1.8</w:t>
            </w:r>
            <w:r w:rsidRPr="001828E1">
              <w:rPr>
                <w:color w:val="000000"/>
                <w:sz w:val="18"/>
                <w:szCs w:val="18"/>
              </w:rPr>
              <w:t>%</w:t>
            </w:r>
          </w:p>
        </w:tc>
      </w:tr>
      <w:tr w:rsidR="00EC1479" w:rsidRPr="002A3B9B" w14:paraId="23202EFB" w14:textId="77777777" w:rsidTr="008C536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0ABB3F8F" w14:textId="21EF1412" w:rsidR="00EC1479" w:rsidRPr="000421E1" w:rsidRDefault="00EC1479" w:rsidP="00836A9E">
            <w:pPr>
              <w:pStyle w:val="NoSpacing"/>
              <w:rPr>
                <w:b w:val="0"/>
                <w:color w:val="000000" w:themeColor="text1"/>
                <w:sz w:val="18"/>
                <w:szCs w:val="18"/>
              </w:rPr>
            </w:pPr>
            <w:r w:rsidRPr="000421E1">
              <w:rPr>
                <w:b w:val="0"/>
                <w:color w:val="000000" w:themeColor="text1"/>
                <w:sz w:val="18"/>
                <w:szCs w:val="18"/>
              </w:rPr>
              <w:t>Fresh lamb</w:t>
            </w:r>
          </w:p>
        </w:tc>
        <w:tc>
          <w:tcPr>
            <w:tcW w:w="990" w:type="dxa"/>
            <w:gridSpan w:val="2"/>
            <w:tcBorders>
              <w:top w:val="nil"/>
              <w:bottom w:val="nil"/>
            </w:tcBorders>
            <w:shd w:val="clear" w:color="auto" w:fill="D9D9D9" w:themeFill="background1" w:themeFillShade="D9"/>
          </w:tcPr>
          <w:p w14:paraId="4C81F97C" w14:textId="1EE83E1A" w:rsidR="00EC1479" w:rsidRPr="000D0537" w:rsidRDefault="00EC1479" w:rsidP="00836A9E">
            <w:pPr>
              <w:pStyle w:val="NoSpacing"/>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25793">
              <w:rPr>
                <w:color w:val="auto"/>
                <w:sz w:val="18"/>
                <w:szCs w:val="18"/>
              </w:rPr>
              <w:t>$</w:t>
            </w:r>
            <w:r w:rsidR="00070E3C">
              <w:rPr>
                <w:color w:val="auto"/>
                <w:sz w:val="18"/>
                <w:szCs w:val="18"/>
              </w:rPr>
              <w:t>74</w:t>
            </w:r>
            <w:r w:rsidRPr="00325793">
              <w:rPr>
                <w:color w:val="auto"/>
                <w:sz w:val="18"/>
                <w:szCs w:val="18"/>
              </w:rPr>
              <w:t>M</w:t>
            </w:r>
          </w:p>
        </w:tc>
        <w:tc>
          <w:tcPr>
            <w:tcW w:w="1075" w:type="dxa"/>
            <w:tcBorders>
              <w:top w:val="nil"/>
              <w:bottom w:val="nil"/>
            </w:tcBorders>
            <w:shd w:val="clear" w:color="auto" w:fill="D9D9D9" w:themeFill="background1" w:themeFillShade="D9"/>
          </w:tcPr>
          <w:p w14:paraId="314CEE27" w14:textId="000C1051"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D77980">
              <w:rPr>
                <w:color w:val="000000"/>
                <w:sz w:val="18"/>
                <w:szCs w:val="18"/>
              </w:rPr>
              <w:t>+</w:t>
            </w:r>
            <w:r w:rsidR="00070E3C">
              <w:rPr>
                <w:color w:val="000000"/>
                <w:sz w:val="18"/>
                <w:szCs w:val="18"/>
              </w:rPr>
              <w:t>18.1</w:t>
            </w:r>
            <w:r w:rsidRPr="00D77980">
              <w:rPr>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6F591B6B" w14:textId="5A7EEF25"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D77980">
              <w:rPr>
                <w:color w:val="000000"/>
                <w:sz w:val="18"/>
                <w:szCs w:val="18"/>
              </w:rPr>
              <w:t>+</w:t>
            </w:r>
            <w:r w:rsidR="00070E3C">
              <w:rPr>
                <w:color w:val="000000"/>
                <w:sz w:val="18"/>
                <w:szCs w:val="18"/>
              </w:rPr>
              <w:t>10.3</w:t>
            </w:r>
            <w:r w:rsidRPr="00D77980">
              <w:rPr>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487DBC20" w14:textId="71D34C2D"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0421E1">
              <w:rPr>
                <w:color w:val="000000" w:themeColor="text1"/>
                <w:sz w:val="18"/>
                <w:szCs w:val="18"/>
              </w:rPr>
              <w:t>Fresh lamb</w:t>
            </w:r>
          </w:p>
        </w:tc>
        <w:tc>
          <w:tcPr>
            <w:tcW w:w="1080" w:type="dxa"/>
            <w:tcBorders>
              <w:top w:val="nil"/>
              <w:bottom w:val="nil"/>
            </w:tcBorders>
            <w:shd w:val="clear" w:color="auto" w:fill="D9D9D9" w:themeFill="background1" w:themeFillShade="D9"/>
          </w:tcPr>
          <w:p w14:paraId="1AA6F2F7" w14:textId="10568BB6" w:rsidR="00EC1479" w:rsidRPr="000D0537"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auto"/>
                <w:sz w:val="18"/>
                <w:szCs w:val="18"/>
              </w:rPr>
            </w:pPr>
            <w:r w:rsidRPr="00911642">
              <w:rPr>
                <w:color w:val="auto"/>
                <w:sz w:val="18"/>
                <w:szCs w:val="18"/>
              </w:rPr>
              <w:t>$</w:t>
            </w:r>
            <w:r w:rsidR="00070E3C">
              <w:rPr>
                <w:color w:val="auto"/>
                <w:sz w:val="18"/>
                <w:szCs w:val="18"/>
              </w:rPr>
              <w:t>957</w:t>
            </w:r>
            <w:r w:rsidRPr="00911642">
              <w:rPr>
                <w:color w:val="auto"/>
                <w:sz w:val="18"/>
                <w:szCs w:val="18"/>
              </w:rPr>
              <w:t>M</w:t>
            </w:r>
          </w:p>
        </w:tc>
        <w:tc>
          <w:tcPr>
            <w:tcW w:w="1187" w:type="dxa"/>
            <w:tcBorders>
              <w:top w:val="nil"/>
              <w:bottom w:val="nil"/>
            </w:tcBorders>
            <w:shd w:val="clear" w:color="auto" w:fill="D9D9D9" w:themeFill="background1" w:themeFillShade="D9"/>
          </w:tcPr>
          <w:p w14:paraId="11C3B152" w14:textId="62E597C5"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28E1">
              <w:rPr>
                <w:color w:val="000000"/>
                <w:sz w:val="18"/>
                <w:szCs w:val="18"/>
              </w:rPr>
              <w:t>+</w:t>
            </w:r>
            <w:r w:rsidR="00070E3C">
              <w:rPr>
                <w:color w:val="000000"/>
                <w:sz w:val="18"/>
                <w:szCs w:val="18"/>
              </w:rPr>
              <w:t>10.9</w:t>
            </w:r>
            <w:r w:rsidRPr="001828E1">
              <w:rPr>
                <w:color w:val="000000"/>
                <w:sz w:val="18"/>
                <w:szCs w:val="18"/>
              </w:rPr>
              <w:t>%</w:t>
            </w:r>
          </w:p>
        </w:tc>
        <w:tc>
          <w:tcPr>
            <w:tcW w:w="1333" w:type="dxa"/>
            <w:tcBorders>
              <w:top w:val="nil"/>
              <w:bottom w:val="nil"/>
            </w:tcBorders>
            <w:shd w:val="clear" w:color="auto" w:fill="D9D9D9" w:themeFill="background1" w:themeFillShade="D9"/>
          </w:tcPr>
          <w:p w14:paraId="1B764420" w14:textId="636A87C9"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828E1">
              <w:rPr>
                <w:color w:val="000000"/>
                <w:sz w:val="18"/>
                <w:szCs w:val="18"/>
              </w:rPr>
              <w:t>+</w:t>
            </w:r>
            <w:r w:rsidR="00070E3C">
              <w:rPr>
                <w:color w:val="000000"/>
                <w:sz w:val="18"/>
                <w:szCs w:val="18"/>
              </w:rPr>
              <w:t>11.2</w:t>
            </w:r>
            <w:r w:rsidRPr="001828E1">
              <w:rPr>
                <w:color w:val="000000"/>
                <w:sz w:val="18"/>
                <w:szCs w:val="18"/>
              </w:rPr>
              <w:t>%</w:t>
            </w:r>
          </w:p>
        </w:tc>
      </w:tr>
      <w:tr w:rsidR="00EC1479" w:rsidRPr="002A3B9B" w14:paraId="0E93CA3A" w14:textId="77777777" w:rsidTr="008C536A">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24B7253B" w14:textId="4C388222" w:rsidR="00EC1479" w:rsidRPr="000421E1" w:rsidRDefault="00EC1479" w:rsidP="00836A9E">
            <w:pPr>
              <w:pStyle w:val="NoSpacing"/>
              <w:rPr>
                <w:b w:val="0"/>
                <w:color w:val="000000" w:themeColor="text1"/>
                <w:sz w:val="18"/>
                <w:szCs w:val="18"/>
              </w:rPr>
            </w:pPr>
            <w:r w:rsidRPr="000421E1">
              <w:rPr>
                <w:b w:val="0"/>
                <w:color w:val="000000" w:themeColor="text1"/>
                <w:sz w:val="18"/>
                <w:szCs w:val="18"/>
              </w:rPr>
              <w:t>Fresh exotic</w:t>
            </w:r>
          </w:p>
        </w:tc>
        <w:tc>
          <w:tcPr>
            <w:tcW w:w="990" w:type="dxa"/>
            <w:gridSpan w:val="2"/>
            <w:tcBorders>
              <w:top w:val="nil"/>
              <w:left w:val="nil"/>
              <w:bottom w:val="nil"/>
              <w:right w:val="nil"/>
            </w:tcBorders>
          </w:tcPr>
          <w:p w14:paraId="211C1E4E" w14:textId="63FA08FD" w:rsidR="00EC1479" w:rsidRPr="000D0537" w:rsidRDefault="00EC1479" w:rsidP="00836A9E">
            <w:pPr>
              <w:pStyle w:val="NoSpacing"/>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25793">
              <w:rPr>
                <w:color w:val="auto"/>
                <w:sz w:val="18"/>
                <w:szCs w:val="18"/>
              </w:rPr>
              <w:t>$</w:t>
            </w:r>
            <w:r w:rsidR="00070E3C">
              <w:rPr>
                <w:color w:val="auto"/>
                <w:sz w:val="18"/>
                <w:szCs w:val="18"/>
              </w:rPr>
              <w:t>15</w:t>
            </w:r>
            <w:r w:rsidRPr="00325793">
              <w:rPr>
                <w:color w:val="auto"/>
                <w:sz w:val="18"/>
                <w:szCs w:val="18"/>
              </w:rPr>
              <w:t>M</w:t>
            </w:r>
          </w:p>
        </w:tc>
        <w:tc>
          <w:tcPr>
            <w:tcW w:w="1075" w:type="dxa"/>
            <w:tcBorders>
              <w:top w:val="nil"/>
              <w:left w:val="nil"/>
              <w:bottom w:val="nil"/>
              <w:right w:val="nil"/>
            </w:tcBorders>
          </w:tcPr>
          <w:p w14:paraId="4EC34FF5" w14:textId="5837F882" w:rsidR="00EC1479" w:rsidRPr="000421E1" w:rsidRDefault="00070E3C"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Pr>
                <w:color w:val="000000"/>
                <w:sz w:val="18"/>
                <w:szCs w:val="18"/>
              </w:rPr>
              <w:t>-9.0</w:t>
            </w:r>
            <w:r w:rsidR="00EC1479" w:rsidRPr="00D77980">
              <w:rPr>
                <w:color w:val="000000"/>
                <w:sz w:val="18"/>
                <w:szCs w:val="18"/>
              </w:rPr>
              <w:t>%</w:t>
            </w:r>
          </w:p>
        </w:tc>
        <w:tc>
          <w:tcPr>
            <w:tcW w:w="1333" w:type="dxa"/>
            <w:tcBorders>
              <w:top w:val="nil"/>
              <w:left w:val="nil"/>
              <w:bottom w:val="nil"/>
              <w:right w:val="single" w:sz="4" w:space="0" w:color="31849B" w:themeColor="accent5" w:themeShade="BF"/>
            </w:tcBorders>
          </w:tcPr>
          <w:p w14:paraId="35DF37A1" w14:textId="4E8271B1" w:rsidR="00EC1479" w:rsidRPr="000421E1" w:rsidRDefault="00070E3C"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Pr>
                <w:color w:val="000000"/>
                <w:sz w:val="18"/>
                <w:szCs w:val="18"/>
              </w:rPr>
              <w:t>-6.8</w:t>
            </w:r>
            <w:r w:rsidR="00EC1479" w:rsidRPr="00D77980">
              <w:rPr>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4F65FC38" w14:textId="7028D4B1" w:rsidR="00EC1479" w:rsidRPr="000421E1" w:rsidRDefault="00EC1479" w:rsidP="00836A9E">
            <w:pPr>
              <w:pStyle w:val="NoSpacing"/>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0421E1">
              <w:rPr>
                <w:color w:val="000000" w:themeColor="text1"/>
                <w:sz w:val="18"/>
                <w:szCs w:val="18"/>
              </w:rPr>
              <w:t>Fresh exotic</w:t>
            </w:r>
          </w:p>
        </w:tc>
        <w:tc>
          <w:tcPr>
            <w:tcW w:w="1080" w:type="dxa"/>
            <w:tcBorders>
              <w:top w:val="nil"/>
              <w:left w:val="nil"/>
              <w:bottom w:val="nil"/>
              <w:right w:val="nil"/>
            </w:tcBorders>
          </w:tcPr>
          <w:p w14:paraId="1689DD4B" w14:textId="2458080B" w:rsidR="00EC1479" w:rsidRPr="000D0537" w:rsidRDefault="00EC1479" w:rsidP="00836A9E">
            <w:pPr>
              <w:pStyle w:val="NoSpacing"/>
              <w:cnfStyle w:val="000000000000" w:firstRow="0" w:lastRow="0" w:firstColumn="0" w:lastColumn="0" w:oddVBand="0" w:evenVBand="0" w:oddHBand="0" w:evenHBand="0" w:firstRowFirstColumn="0" w:firstRowLastColumn="0" w:lastRowFirstColumn="0" w:lastRowLastColumn="0"/>
              <w:rPr>
                <w:color w:val="auto"/>
                <w:sz w:val="18"/>
                <w:szCs w:val="18"/>
              </w:rPr>
            </w:pPr>
            <w:r w:rsidRPr="00911642">
              <w:rPr>
                <w:color w:val="auto"/>
                <w:sz w:val="18"/>
                <w:szCs w:val="18"/>
              </w:rPr>
              <w:t>$</w:t>
            </w:r>
            <w:r w:rsidR="00070E3C">
              <w:rPr>
                <w:color w:val="auto"/>
                <w:sz w:val="18"/>
                <w:szCs w:val="18"/>
              </w:rPr>
              <w:t>219</w:t>
            </w:r>
            <w:r w:rsidRPr="00911642">
              <w:rPr>
                <w:color w:val="auto"/>
                <w:sz w:val="18"/>
                <w:szCs w:val="18"/>
              </w:rPr>
              <w:t>M</w:t>
            </w:r>
          </w:p>
        </w:tc>
        <w:tc>
          <w:tcPr>
            <w:tcW w:w="1187" w:type="dxa"/>
            <w:tcBorders>
              <w:top w:val="nil"/>
              <w:left w:val="nil"/>
              <w:bottom w:val="nil"/>
              <w:right w:val="nil"/>
            </w:tcBorders>
          </w:tcPr>
          <w:p w14:paraId="41FB3DC5" w14:textId="428480E4" w:rsidR="00EC1479" w:rsidRPr="000421E1" w:rsidRDefault="00070E3C" w:rsidP="00836A9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sz w:val="18"/>
                <w:szCs w:val="18"/>
              </w:rPr>
              <w:t>-2.2</w:t>
            </w:r>
            <w:r w:rsidR="00EC1479" w:rsidRPr="001828E1">
              <w:rPr>
                <w:color w:val="000000"/>
                <w:sz w:val="18"/>
                <w:szCs w:val="18"/>
              </w:rPr>
              <w:t>%</w:t>
            </w:r>
          </w:p>
        </w:tc>
        <w:tc>
          <w:tcPr>
            <w:tcW w:w="1333" w:type="dxa"/>
            <w:tcBorders>
              <w:top w:val="nil"/>
              <w:left w:val="nil"/>
              <w:bottom w:val="nil"/>
            </w:tcBorders>
          </w:tcPr>
          <w:p w14:paraId="5E7D78E5" w14:textId="5A1EEEC5" w:rsidR="00EC1479" w:rsidRPr="000421E1" w:rsidRDefault="00070E3C" w:rsidP="00836A9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sz w:val="18"/>
                <w:szCs w:val="18"/>
              </w:rPr>
              <w:t>-0.2</w:t>
            </w:r>
            <w:r w:rsidR="00EC1479" w:rsidRPr="001828E1">
              <w:rPr>
                <w:color w:val="000000"/>
                <w:sz w:val="18"/>
                <w:szCs w:val="18"/>
              </w:rPr>
              <w:t>%</w:t>
            </w:r>
          </w:p>
        </w:tc>
      </w:tr>
      <w:tr w:rsidR="00EC1479" w:rsidRPr="002A3B9B" w14:paraId="7076EB95" w14:textId="77777777" w:rsidTr="008C536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6C1CF29" w14:textId="280E2EC9" w:rsidR="00EC1479" w:rsidRPr="000421E1" w:rsidRDefault="00EC1479" w:rsidP="00836A9E">
            <w:pPr>
              <w:pStyle w:val="NoSpacing"/>
              <w:rPr>
                <w:b w:val="0"/>
                <w:color w:val="000000" w:themeColor="text1"/>
                <w:sz w:val="18"/>
                <w:szCs w:val="18"/>
              </w:rPr>
            </w:pPr>
            <w:r w:rsidRPr="000421E1">
              <w:rPr>
                <w:b w:val="0"/>
                <w:color w:val="000000" w:themeColor="text1"/>
                <w:sz w:val="18"/>
                <w:szCs w:val="18"/>
              </w:rPr>
              <w:t>Veal</w:t>
            </w:r>
          </w:p>
        </w:tc>
        <w:tc>
          <w:tcPr>
            <w:tcW w:w="990" w:type="dxa"/>
            <w:gridSpan w:val="2"/>
            <w:tcBorders>
              <w:top w:val="nil"/>
              <w:bottom w:val="nil"/>
            </w:tcBorders>
            <w:shd w:val="clear" w:color="auto" w:fill="D9D9D9" w:themeFill="background1" w:themeFillShade="D9"/>
          </w:tcPr>
          <w:p w14:paraId="64354BA8" w14:textId="64C244CB" w:rsidR="00EC1479" w:rsidRPr="000D0537" w:rsidRDefault="00EC1479" w:rsidP="00836A9E">
            <w:pPr>
              <w:pStyle w:val="NoSpacing"/>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25793">
              <w:rPr>
                <w:color w:val="auto"/>
                <w:sz w:val="18"/>
                <w:szCs w:val="18"/>
              </w:rPr>
              <w:t>$</w:t>
            </w:r>
            <w:r w:rsidR="00070E3C">
              <w:rPr>
                <w:color w:val="auto"/>
                <w:sz w:val="18"/>
                <w:szCs w:val="18"/>
              </w:rPr>
              <w:t>3.1</w:t>
            </w:r>
            <w:r w:rsidRPr="00325793">
              <w:rPr>
                <w:color w:val="auto"/>
                <w:sz w:val="18"/>
                <w:szCs w:val="18"/>
              </w:rPr>
              <w:t>M</w:t>
            </w:r>
          </w:p>
        </w:tc>
        <w:tc>
          <w:tcPr>
            <w:tcW w:w="1075" w:type="dxa"/>
            <w:tcBorders>
              <w:top w:val="nil"/>
              <w:bottom w:val="nil"/>
            </w:tcBorders>
            <w:shd w:val="clear" w:color="auto" w:fill="D9D9D9" w:themeFill="background1" w:themeFillShade="D9"/>
          </w:tcPr>
          <w:p w14:paraId="6BA45E38" w14:textId="37465E60" w:rsidR="00EC1479" w:rsidRPr="000421E1" w:rsidRDefault="00070E3C" w:rsidP="00836A9E">
            <w:pPr>
              <w:pStyle w:val="NoSpacing"/>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Pr>
                <w:color w:val="000000"/>
                <w:sz w:val="18"/>
                <w:szCs w:val="18"/>
              </w:rPr>
              <w:t>+0.5</w:t>
            </w:r>
            <w:r w:rsidR="00EC1479" w:rsidRPr="00D77980">
              <w:rPr>
                <w:color w:val="000000"/>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1BBF83A8" w14:textId="7B1908DC"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Pr>
                <w:color w:val="000000"/>
                <w:sz w:val="18"/>
                <w:szCs w:val="18"/>
              </w:rPr>
              <w:t>-</w:t>
            </w:r>
            <w:r w:rsidR="00070E3C">
              <w:rPr>
                <w:color w:val="000000"/>
                <w:sz w:val="18"/>
                <w:szCs w:val="18"/>
              </w:rPr>
              <w:t>6.4</w:t>
            </w:r>
            <w:r w:rsidRPr="00D77980">
              <w:rPr>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1D2A7A82" w14:textId="333513C0"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0421E1">
              <w:rPr>
                <w:color w:val="000000" w:themeColor="text1"/>
                <w:sz w:val="18"/>
                <w:szCs w:val="18"/>
              </w:rPr>
              <w:t>Veal</w:t>
            </w:r>
          </w:p>
        </w:tc>
        <w:tc>
          <w:tcPr>
            <w:tcW w:w="1080" w:type="dxa"/>
            <w:tcBorders>
              <w:top w:val="nil"/>
              <w:bottom w:val="nil"/>
            </w:tcBorders>
            <w:shd w:val="clear" w:color="auto" w:fill="D9D9D9" w:themeFill="background1" w:themeFillShade="D9"/>
          </w:tcPr>
          <w:p w14:paraId="01AA82BB" w14:textId="102CC9A6" w:rsidR="00EC1479" w:rsidRPr="000D0537"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auto"/>
                <w:sz w:val="18"/>
                <w:szCs w:val="18"/>
              </w:rPr>
            </w:pPr>
            <w:r w:rsidRPr="00911642">
              <w:rPr>
                <w:color w:val="auto"/>
                <w:sz w:val="18"/>
                <w:szCs w:val="18"/>
              </w:rPr>
              <w:t>$</w:t>
            </w:r>
            <w:r w:rsidR="00070E3C">
              <w:rPr>
                <w:color w:val="auto"/>
                <w:sz w:val="18"/>
                <w:szCs w:val="18"/>
              </w:rPr>
              <w:t>44</w:t>
            </w:r>
            <w:r w:rsidRPr="00911642">
              <w:rPr>
                <w:color w:val="auto"/>
                <w:sz w:val="18"/>
                <w:szCs w:val="18"/>
              </w:rPr>
              <w:t>M</w:t>
            </w:r>
          </w:p>
        </w:tc>
        <w:tc>
          <w:tcPr>
            <w:tcW w:w="1187" w:type="dxa"/>
            <w:tcBorders>
              <w:top w:val="nil"/>
              <w:bottom w:val="nil"/>
            </w:tcBorders>
            <w:shd w:val="clear" w:color="auto" w:fill="D9D9D9" w:themeFill="background1" w:themeFillShade="D9"/>
          </w:tcPr>
          <w:p w14:paraId="0565E793" w14:textId="61F7DF68"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sz w:val="18"/>
                <w:szCs w:val="18"/>
              </w:rPr>
              <w:t>-</w:t>
            </w:r>
            <w:r w:rsidR="00070E3C">
              <w:rPr>
                <w:color w:val="000000"/>
                <w:sz w:val="18"/>
                <w:szCs w:val="18"/>
              </w:rPr>
              <w:t>2.0</w:t>
            </w:r>
            <w:r w:rsidRPr="008F54FD">
              <w:rPr>
                <w:color w:val="000000"/>
                <w:sz w:val="18"/>
                <w:szCs w:val="18"/>
              </w:rPr>
              <w:t>%</w:t>
            </w:r>
          </w:p>
        </w:tc>
        <w:tc>
          <w:tcPr>
            <w:tcW w:w="1333" w:type="dxa"/>
            <w:tcBorders>
              <w:top w:val="nil"/>
              <w:bottom w:val="nil"/>
            </w:tcBorders>
            <w:shd w:val="clear" w:color="auto" w:fill="D9D9D9" w:themeFill="background1" w:themeFillShade="D9"/>
            <w:vAlign w:val="center"/>
          </w:tcPr>
          <w:p w14:paraId="3171A941" w14:textId="5AA9B3D2" w:rsidR="00EC1479" w:rsidRPr="000421E1" w:rsidRDefault="00EC1479" w:rsidP="00836A9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sz w:val="18"/>
                <w:szCs w:val="18"/>
              </w:rPr>
              <w:t>-</w:t>
            </w:r>
            <w:r w:rsidR="00070E3C">
              <w:rPr>
                <w:color w:val="000000"/>
                <w:sz w:val="18"/>
                <w:szCs w:val="18"/>
              </w:rPr>
              <w:t>5.5</w:t>
            </w:r>
            <w:r w:rsidRPr="000421E1">
              <w:rPr>
                <w:color w:val="000000"/>
                <w:sz w:val="18"/>
                <w:szCs w:val="18"/>
              </w:rPr>
              <w:t>%</w:t>
            </w:r>
          </w:p>
        </w:tc>
      </w:tr>
      <w:bookmarkEnd w:id="11"/>
    </w:tbl>
    <w:p w14:paraId="2031E023" w14:textId="2AE135AC" w:rsidR="005E4F84" w:rsidRPr="002E1C0B" w:rsidRDefault="005E4F84" w:rsidP="00836A9E">
      <w:pPr>
        <w:pStyle w:val="NoSpacing"/>
        <w:rPr>
          <w:sz w:val="6"/>
          <w:szCs w:val="10"/>
        </w:rPr>
      </w:pPr>
    </w:p>
    <w:p w14:paraId="739A63C7" w14:textId="155B1A40" w:rsidR="006A3676" w:rsidRDefault="005E4F84" w:rsidP="00836A9E">
      <w:pPr>
        <w:pStyle w:val="NoSpacing"/>
        <w:rPr>
          <w:color w:val="7F7F7F" w:themeColor="text1" w:themeTint="80"/>
          <w:sz w:val="16"/>
          <w:szCs w:val="16"/>
        </w:rPr>
      </w:pPr>
      <w:r w:rsidRPr="00E54A99">
        <w:rPr>
          <w:color w:val="7F7F7F" w:themeColor="text1" w:themeTint="80"/>
          <w:sz w:val="16"/>
          <w:szCs w:val="16"/>
        </w:rPr>
        <w:t xml:space="preserve">Source: </w:t>
      </w:r>
      <w:proofErr w:type="spellStart"/>
      <w:r w:rsidR="00FB48FE" w:rsidRPr="00E54A99">
        <w:rPr>
          <w:color w:val="7F7F7F" w:themeColor="text1" w:themeTint="80"/>
          <w:sz w:val="16"/>
          <w:szCs w:val="16"/>
        </w:rPr>
        <w:t>Circana</w:t>
      </w:r>
      <w:proofErr w:type="spellEnd"/>
      <w:r w:rsidRPr="00E54A99">
        <w:rPr>
          <w:color w:val="7F7F7F" w:themeColor="text1" w:themeTint="80"/>
          <w:sz w:val="16"/>
          <w:szCs w:val="16"/>
        </w:rPr>
        <w:t xml:space="preserve">, Integrated Fresh, </w:t>
      </w:r>
      <w:r w:rsidR="00D85BA4">
        <w:rPr>
          <w:color w:val="7F7F7F" w:themeColor="text1" w:themeTint="80"/>
          <w:sz w:val="16"/>
          <w:szCs w:val="16"/>
        </w:rPr>
        <w:t>MULO+</w:t>
      </w:r>
      <w:bookmarkEnd w:id="10"/>
    </w:p>
    <w:p w14:paraId="1892C764" w14:textId="14FF029B" w:rsidR="00D431E8" w:rsidRDefault="00D431E8" w:rsidP="00A13AC1">
      <w:pPr>
        <w:pStyle w:val="NoSpacing"/>
        <w:rPr>
          <w:rFonts w:ascii="Arial" w:hAnsi="Arial" w:cs="Arial"/>
          <w:color w:val="7F7F7F" w:themeColor="text1" w:themeTint="80"/>
          <w:sz w:val="16"/>
          <w:szCs w:val="16"/>
        </w:rPr>
      </w:pPr>
    </w:p>
    <w:p w14:paraId="630AC737" w14:textId="77777777" w:rsidR="00A13AC1" w:rsidRPr="00A13AC1" w:rsidRDefault="00A13AC1" w:rsidP="00A13AC1">
      <w:pPr>
        <w:pStyle w:val="NoSpacing"/>
        <w:rPr>
          <w:rFonts w:ascii="Arial" w:hAnsi="Arial" w:cs="Arial"/>
          <w:color w:val="7F7F7F" w:themeColor="text1" w:themeTint="80"/>
          <w:sz w:val="16"/>
          <w:szCs w:val="16"/>
        </w:rPr>
      </w:pPr>
    </w:p>
    <w:p w14:paraId="4F9768B6" w14:textId="72CB12BA" w:rsidR="00E57D76" w:rsidRPr="006879B2" w:rsidRDefault="00E57D76" w:rsidP="005C43DB">
      <w:pPr>
        <w:spacing w:after="0"/>
        <w:rPr>
          <w:rFonts w:ascii="Arial" w:hAnsi="Arial" w:cs="Arial"/>
          <w:b/>
          <w:color w:val="595959" w:themeColor="text1" w:themeTint="A6"/>
          <w:sz w:val="24"/>
          <w:szCs w:val="24"/>
        </w:rPr>
      </w:pPr>
      <w:bookmarkStart w:id="12" w:name="_Hlk197678897"/>
      <w:r>
        <w:rPr>
          <w:rFonts w:ascii="Arial" w:hAnsi="Arial" w:cs="Arial"/>
          <w:b/>
          <w:color w:val="595959" w:themeColor="text1" w:themeTint="A6"/>
          <w:sz w:val="24"/>
          <w:szCs w:val="24"/>
        </w:rPr>
        <w:t xml:space="preserve">Processed </w:t>
      </w:r>
      <w:r w:rsidRPr="006879B2">
        <w:rPr>
          <w:rFonts w:ascii="Arial" w:hAnsi="Arial" w:cs="Arial"/>
          <w:b/>
          <w:color w:val="595959" w:themeColor="text1" w:themeTint="A6"/>
          <w:sz w:val="24"/>
          <w:szCs w:val="24"/>
        </w:rPr>
        <w:t xml:space="preserve">Meat </w:t>
      </w:r>
    </w:p>
    <w:p w14:paraId="22DCFEF9" w14:textId="6DB62789" w:rsidR="00D5564A" w:rsidRDefault="00F37B96" w:rsidP="00D5564A">
      <w:pPr>
        <w:pStyle w:val="NoSpacing"/>
        <w:rPr>
          <w:rFonts w:ascii="Arial" w:hAnsi="Arial" w:cs="Arial"/>
          <w:sz w:val="20"/>
          <w:szCs w:val="20"/>
        </w:rPr>
      </w:pPr>
      <w:r>
        <w:rPr>
          <w:rFonts w:ascii="Arial" w:hAnsi="Arial" w:cs="Arial"/>
          <w:sz w:val="20"/>
          <w:szCs w:val="20"/>
        </w:rPr>
        <w:t xml:space="preserve">Processed meat sales were a mix in </w:t>
      </w:r>
      <w:r w:rsidR="000A2703">
        <w:rPr>
          <w:rFonts w:ascii="Arial" w:hAnsi="Arial" w:cs="Arial"/>
          <w:sz w:val="20"/>
          <w:szCs w:val="20"/>
        </w:rPr>
        <w:t>June</w:t>
      </w:r>
      <w:r w:rsidR="00D5564A" w:rsidRPr="00D5564A">
        <w:rPr>
          <w:rFonts w:ascii="Arial" w:hAnsi="Arial" w:cs="Arial"/>
          <w:sz w:val="20"/>
          <w:szCs w:val="20"/>
        </w:rPr>
        <w:t>.</w:t>
      </w:r>
      <w:r>
        <w:rPr>
          <w:rFonts w:ascii="Arial" w:hAnsi="Arial" w:cs="Arial"/>
          <w:sz w:val="20"/>
          <w:szCs w:val="20"/>
        </w:rPr>
        <w:t xml:space="preserve"> Packaged lunchmeat</w:t>
      </w:r>
      <w:r w:rsidR="00FC591F">
        <w:rPr>
          <w:rFonts w:ascii="Arial" w:hAnsi="Arial" w:cs="Arial"/>
          <w:sz w:val="20"/>
          <w:szCs w:val="20"/>
        </w:rPr>
        <w:t>, smoked ham</w:t>
      </w:r>
      <w:r>
        <w:rPr>
          <w:rFonts w:ascii="Arial" w:hAnsi="Arial" w:cs="Arial"/>
          <w:sz w:val="20"/>
          <w:szCs w:val="20"/>
        </w:rPr>
        <w:t xml:space="preserve"> and frankfurters pulled down the total category performance, whereas bacon, breakfast sausage and processed chicken grew. </w:t>
      </w:r>
      <w:r w:rsidR="00FC591F">
        <w:rPr>
          <w:rFonts w:ascii="Arial" w:hAnsi="Arial" w:cs="Arial"/>
          <w:sz w:val="20"/>
          <w:szCs w:val="20"/>
        </w:rPr>
        <w:t>Processed meat and poultry has also seen a lot of growth in the frozen food department.</w:t>
      </w:r>
    </w:p>
    <w:p w14:paraId="771D46F2" w14:textId="77777777" w:rsidR="00FA10C6" w:rsidRPr="00FA10C6" w:rsidRDefault="00FA10C6" w:rsidP="00D5564A">
      <w:pPr>
        <w:pStyle w:val="NoSpacing"/>
        <w:rPr>
          <w:rFonts w:ascii="Arial" w:hAnsi="Arial" w:cs="Arial"/>
          <w:sz w:val="14"/>
          <w:szCs w:val="14"/>
        </w:rPr>
      </w:pPr>
    </w:p>
    <w:tbl>
      <w:tblPr>
        <w:tblStyle w:val="LightShading-Accent5"/>
        <w:tblW w:w="10535" w:type="dxa"/>
        <w:tblLayout w:type="fixed"/>
        <w:tblLook w:val="04A0" w:firstRow="1" w:lastRow="0" w:firstColumn="1" w:lastColumn="0" w:noHBand="0" w:noVBand="1"/>
      </w:tblPr>
      <w:tblGrid>
        <w:gridCol w:w="1979"/>
        <w:gridCol w:w="995"/>
        <w:gridCol w:w="1085"/>
        <w:gridCol w:w="441"/>
        <w:gridCol w:w="706"/>
        <w:gridCol w:w="1906"/>
        <w:gridCol w:w="898"/>
        <w:gridCol w:w="92"/>
        <w:gridCol w:w="1078"/>
        <w:gridCol w:w="1355"/>
      </w:tblGrid>
      <w:tr w:rsidR="00FA10C6" w:rsidRPr="0003007F" w14:paraId="0D89C9E1" w14:textId="77777777" w:rsidTr="00D07BD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5101D5CC" w14:textId="77777777" w:rsidR="00FA10C6" w:rsidRPr="00AB1306" w:rsidRDefault="00FA10C6" w:rsidP="00D07BDF">
            <w:pPr>
              <w:pStyle w:val="NoSpacing"/>
              <w:rPr>
                <w:rFonts w:ascii="Arial" w:hAnsi="Arial" w:cs="Arial"/>
                <w:color w:val="FFFFFF" w:themeColor="background1"/>
                <w:sz w:val="18"/>
                <w:szCs w:val="18"/>
              </w:rPr>
            </w:pPr>
            <w:r>
              <w:br w:type="page"/>
            </w:r>
          </w:p>
        </w:tc>
        <w:tc>
          <w:tcPr>
            <w:tcW w:w="2521" w:type="dxa"/>
            <w:gridSpan w:val="3"/>
            <w:tcBorders>
              <w:top w:val="nil"/>
              <w:bottom w:val="nil"/>
            </w:tcBorders>
            <w:shd w:val="clear" w:color="auto" w:fill="17365D" w:themeFill="text2" w:themeFillShade="BF"/>
          </w:tcPr>
          <w:p w14:paraId="4E73E0BB" w14:textId="71672A15" w:rsidR="00FA10C6" w:rsidRPr="00AB1306" w:rsidRDefault="000A2703" w:rsidP="00D07BDF">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June</w:t>
            </w:r>
            <w:r w:rsidR="00FA10C6">
              <w:rPr>
                <w:rFonts w:ascii="Arial" w:hAnsi="Arial" w:cs="Arial"/>
                <w:color w:val="FFFFFF" w:themeColor="background1"/>
                <w:sz w:val="18"/>
                <w:szCs w:val="18"/>
              </w:rPr>
              <w:t xml:space="preserve"> 2025</w:t>
            </w:r>
          </w:p>
        </w:tc>
        <w:tc>
          <w:tcPr>
            <w:tcW w:w="3510" w:type="dxa"/>
            <w:gridSpan w:val="3"/>
            <w:tcBorders>
              <w:top w:val="nil"/>
              <w:bottom w:val="nil"/>
            </w:tcBorders>
            <w:shd w:val="clear" w:color="auto" w:fill="17365D" w:themeFill="text2" w:themeFillShade="BF"/>
          </w:tcPr>
          <w:p w14:paraId="4E8135CE" w14:textId="77777777" w:rsidR="00FA10C6" w:rsidRPr="00F515F4" w:rsidRDefault="00FA10C6" w:rsidP="00D07BD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2525" w:type="dxa"/>
            <w:gridSpan w:val="3"/>
            <w:tcBorders>
              <w:top w:val="nil"/>
              <w:bottom w:val="nil"/>
            </w:tcBorders>
            <w:shd w:val="clear" w:color="auto" w:fill="17365D" w:themeFill="text2" w:themeFillShade="BF"/>
          </w:tcPr>
          <w:p w14:paraId="4DFA11CD" w14:textId="77777777" w:rsidR="00FA10C6" w:rsidRPr="0003007F" w:rsidRDefault="00FA10C6" w:rsidP="00D07BD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FA10C6" w:rsidRPr="002A3B9B" w14:paraId="5BE30CD1" w14:textId="77777777" w:rsidTr="00D07BD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7A127F7F" w14:textId="77777777" w:rsidR="00FA10C6" w:rsidRPr="002A3B9B" w:rsidRDefault="00FA10C6" w:rsidP="00D07BDF">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95" w:type="dxa"/>
            <w:tcBorders>
              <w:top w:val="nil"/>
              <w:bottom w:val="nil"/>
            </w:tcBorders>
            <w:shd w:val="clear" w:color="auto" w:fill="17365D" w:themeFill="text2" w:themeFillShade="BF"/>
          </w:tcPr>
          <w:p w14:paraId="32B22545" w14:textId="77777777" w:rsidR="00FA10C6" w:rsidRPr="00C3053B" w:rsidRDefault="00FA10C6" w:rsidP="00D07BD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 sales</w:t>
            </w:r>
          </w:p>
        </w:tc>
        <w:tc>
          <w:tcPr>
            <w:tcW w:w="1085" w:type="dxa"/>
            <w:tcBorders>
              <w:top w:val="nil"/>
              <w:bottom w:val="nil"/>
            </w:tcBorders>
            <w:shd w:val="clear" w:color="auto" w:fill="17365D" w:themeFill="text2" w:themeFillShade="BF"/>
          </w:tcPr>
          <w:p w14:paraId="774CA4E6" w14:textId="77777777" w:rsidR="00FA10C6" w:rsidRPr="00C3053B" w:rsidRDefault="00FA10C6" w:rsidP="00D07BDF">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 vs. YA</w:t>
            </w:r>
          </w:p>
        </w:tc>
        <w:tc>
          <w:tcPr>
            <w:tcW w:w="1147" w:type="dxa"/>
            <w:gridSpan w:val="2"/>
            <w:tcBorders>
              <w:top w:val="nil"/>
              <w:bottom w:val="nil"/>
            </w:tcBorders>
            <w:shd w:val="clear" w:color="auto" w:fill="17365D" w:themeFill="text2" w:themeFillShade="BF"/>
          </w:tcPr>
          <w:p w14:paraId="525F0DC7" w14:textId="77777777" w:rsidR="00FA10C6" w:rsidRPr="00C3053B" w:rsidRDefault="00FA10C6" w:rsidP="00D07BDF">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C3053B">
              <w:rPr>
                <w:rFonts w:ascii="Arial" w:hAnsi="Arial" w:cs="Arial"/>
                <w:b/>
                <w:bCs/>
                <w:color w:val="FFFFFF" w:themeColor="background1"/>
                <w:sz w:val="18"/>
                <w:szCs w:val="18"/>
              </w:rPr>
              <w:t>Lbs</w:t>
            </w:r>
            <w:proofErr w:type="spellEnd"/>
            <w:r w:rsidRPr="00C3053B">
              <w:rPr>
                <w:rFonts w:ascii="Arial" w:hAnsi="Arial" w:cs="Arial"/>
                <w:b/>
                <w:bCs/>
                <w:color w:val="FFFFFF" w:themeColor="background1"/>
                <w:sz w:val="18"/>
                <w:szCs w:val="18"/>
              </w:rPr>
              <w:t xml:space="preserve"> vs. YA</w:t>
            </w:r>
          </w:p>
        </w:tc>
        <w:tc>
          <w:tcPr>
            <w:tcW w:w="1906" w:type="dxa"/>
            <w:tcBorders>
              <w:top w:val="nil"/>
              <w:bottom w:val="nil"/>
            </w:tcBorders>
            <w:shd w:val="clear" w:color="auto" w:fill="17365D" w:themeFill="text2" w:themeFillShade="BF"/>
          </w:tcPr>
          <w:p w14:paraId="23A07FCF" w14:textId="77777777" w:rsidR="00FA10C6" w:rsidRPr="00C3053B" w:rsidRDefault="00FA10C6" w:rsidP="00D07BDF">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Type</w:t>
            </w:r>
          </w:p>
        </w:tc>
        <w:tc>
          <w:tcPr>
            <w:tcW w:w="990" w:type="dxa"/>
            <w:gridSpan w:val="2"/>
            <w:tcBorders>
              <w:top w:val="nil"/>
              <w:bottom w:val="nil"/>
            </w:tcBorders>
            <w:shd w:val="clear" w:color="auto" w:fill="17365D" w:themeFill="text2" w:themeFillShade="BF"/>
          </w:tcPr>
          <w:p w14:paraId="5F53ECFB" w14:textId="77777777" w:rsidR="00FA10C6" w:rsidRPr="00C3053B" w:rsidRDefault="00FA10C6" w:rsidP="00D07BDF">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 sales</w:t>
            </w:r>
          </w:p>
        </w:tc>
        <w:tc>
          <w:tcPr>
            <w:tcW w:w="1078" w:type="dxa"/>
            <w:tcBorders>
              <w:top w:val="nil"/>
              <w:bottom w:val="nil"/>
            </w:tcBorders>
            <w:shd w:val="clear" w:color="auto" w:fill="17365D" w:themeFill="text2" w:themeFillShade="BF"/>
          </w:tcPr>
          <w:p w14:paraId="31B74FA5" w14:textId="77777777" w:rsidR="00FA10C6" w:rsidRPr="00C3053B" w:rsidRDefault="00FA10C6" w:rsidP="00D07BDF">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C3053B">
              <w:rPr>
                <w:rFonts w:ascii="Arial" w:hAnsi="Arial" w:cs="Arial"/>
                <w:b/>
                <w:bCs/>
                <w:color w:val="FFFFFF" w:themeColor="background1"/>
                <w:sz w:val="18"/>
                <w:szCs w:val="18"/>
              </w:rPr>
              <w:t>$ vs. YA</w:t>
            </w:r>
          </w:p>
        </w:tc>
        <w:tc>
          <w:tcPr>
            <w:tcW w:w="1355" w:type="dxa"/>
            <w:tcBorders>
              <w:top w:val="nil"/>
              <w:bottom w:val="nil"/>
            </w:tcBorders>
            <w:shd w:val="clear" w:color="auto" w:fill="17365D" w:themeFill="text2" w:themeFillShade="BF"/>
          </w:tcPr>
          <w:p w14:paraId="60774D73" w14:textId="77777777" w:rsidR="00FA10C6" w:rsidRPr="00C3053B" w:rsidRDefault="00FA10C6" w:rsidP="00D07BDF">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C3053B">
              <w:rPr>
                <w:rFonts w:ascii="Arial" w:hAnsi="Arial" w:cs="Arial"/>
                <w:b/>
                <w:bCs/>
                <w:color w:val="FFFFFF" w:themeColor="background1"/>
                <w:sz w:val="18"/>
                <w:szCs w:val="18"/>
              </w:rPr>
              <w:t>Lbs</w:t>
            </w:r>
            <w:proofErr w:type="spellEnd"/>
            <w:r w:rsidRPr="00C3053B">
              <w:rPr>
                <w:rFonts w:ascii="Arial" w:hAnsi="Arial" w:cs="Arial"/>
                <w:b/>
                <w:bCs/>
                <w:color w:val="FFFFFF" w:themeColor="background1"/>
                <w:sz w:val="18"/>
                <w:szCs w:val="18"/>
              </w:rPr>
              <w:t xml:space="preserve"> vs. YA</w:t>
            </w:r>
          </w:p>
        </w:tc>
      </w:tr>
      <w:tr w:rsidR="00FA10C6" w:rsidRPr="00525982" w14:paraId="339F864E" w14:textId="77777777" w:rsidTr="00D07BDF">
        <w:trPr>
          <w:trHeight w:val="303"/>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right w:val="nil"/>
            </w:tcBorders>
            <w:vAlign w:val="center"/>
          </w:tcPr>
          <w:p w14:paraId="306F982D" w14:textId="77777777" w:rsidR="00FA10C6" w:rsidRPr="006A3676" w:rsidRDefault="00FA10C6" w:rsidP="00D07BDF">
            <w:pPr>
              <w:pStyle w:val="NoSpacing"/>
              <w:rPr>
                <w:rFonts w:ascii="Arial" w:hAnsi="Arial" w:cs="Arial"/>
                <w:color w:val="000000" w:themeColor="text1"/>
                <w:sz w:val="18"/>
                <w:szCs w:val="18"/>
              </w:rPr>
            </w:pPr>
            <w:r w:rsidRPr="006A3676">
              <w:rPr>
                <w:rFonts w:ascii="Arial" w:hAnsi="Arial" w:cs="Arial"/>
                <w:bCs w:val="0"/>
                <w:color w:val="000000" w:themeColor="text1"/>
                <w:sz w:val="18"/>
                <w:szCs w:val="18"/>
              </w:rPr>
              <w:t>Processed meat</w:t>
            </w:r>
          </w:p>
        </w:tc>
        <w:tc>
          <w:tcPr>
            <w:tcW w:w="995" w:type="dxa"/>
            <w:tcBorders>
              <w:top w:val="nil"/>
              <w:left w:val="nil"/>
              <w:bottom w:val="nil"/>
              <w:right w:val="nil"/>
            </w:tcBorders>
            <w:vAlign w:val="center"/>
          </w:tcPr>
          <w:p w14:paraId="442DBF8D" w14:textId="342EDAA6" w:rsidR="00FA10C6" w:rsidRPr="00C3053B" w:rsidRDefault="00FA10C6" w:rsidP="00D07BD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color w:val="000000"/>
                <w:sz w:val="18"/>
                <w:szCs w:val="18"/>
              </w:rPr>
              <w:t>$</w:t>
            </w:r>
            <w:r w:rsidR="00E213E7">
              <w:rPr>
                <w:rFonts w:ascii="Arial" w:hAnsi="Arial" w:cs="Arial"/>
                <w:b/>
                <w:color w:val="000000"/>
                <w:sz w:val="18"/>
                <w:szCs w:val="18"/>
              </w:rPr>
              <w:t>2.5</w:t>
            </w:r>
            <w:r w:rsidRPr="00C3053B">
              <w:rPr>
                <w:rFonts w:ascii="Arial" w:hAnsi="Arial" w:cs="Arial"/>
                <w:b/>
                <w:color w:val="000000"/>
                <w:sz w:val="18"/>
                <w:szCs w:val="18"/>
              </w:rPr>
              <w:t>B</w:t>
            </w:r>
          </w:p>
        </w:tc>
        <w:tc>
          <w:tcPr>
            <w:tcW w:w="1085" w:type="dxa"/>
            <w:tcBorders>
              <w:top w:val="nil"/>
              <w:left w:val="nil"/>
              <w:bottom w:val="nil"/>
              <w:right w:val="nil"/>
            </w:tcBorders>
            <w:vAlign w:val="center"/>
          </w:tcPr>
          <w:p w14:paraId="2A1A6FD2" w14:textId="69553488" w:rsidR="00FA10C6" w:rsidRPr="00C3053B" w:rsidRDefault="00D07BDF" w:rsidP="00D07BD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w:t>
            </w:r>
            <w:r w:rsidR="00E213E7">
              <w:rPr>
                <w:rFonts w:ascii="Arial" w:hAnsi="Arial" w:cs="Arial"/>
                <w:b/>
                <w:color w:val="000000"/>
                <w:sz w:val="18"/>
                <w:szCs w:val="18"/>
              </w:rPr>
              <w:t>0.1</w:t>
            </w:r>
            <w:r w:rsidR="00FA10C6" w:rsidRPr="00C3053B">
              <w:rPr>
                <w:rFonts w:ascii="Arial" w:hAnsi="Arial" w:cs="Arial"/>
                <w:b/>
                <w:color w:val="000000"/>
                <w:sz w:val="18"/>
                <w:szCs w:val="18"/>
              </w:rPr>
              <w:t>%</w:t>
            </w:r>
          </w:p>
        </w:tc>
        <w:tc>
          <w:tcPr>
            <w:tcW w:w="1147" w:type="dxa"/>
            <w:gridSpan w:val="2"/>
            <w:tcBorders>
              <w:top w:val="nil"/>
              <w:left w:val="nil"/>
              <w:bottom w:val="nil"/>
              <w:right w:val="single" w:sz="4" w:space="0" w:color="31849B" w:themeColor="accent5" w:themeShade="BF"/>
            </w:tcBorders>
            <w:vAlign w:val="center"/>
          </w:tcPr>
          <w:p w14:paraId="53409ED5" w14:textId="172462A2" w:rsidR="00FA10C6" w:rsidRPr="00C3053B" w:rsidRDefault="00EC1479" w:rsidP="00D07BD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w:t>
            </w:r>
            <w:r w:rsidR="00E213E7">
              <w:rPr>
                <w:rFonts w:ascii="Arial" w:hAnsi="Arial" w:cs="Arial"/>
                <w:b/>
                <w:color w:val="000000"/>
                <w:sz w:val="18"/>
                <w:szCs w:val="18"/>
              </w:rPr>
              <w:t>1.5</w:t>
            </w:r>
            <w:r w:rsidR="00FA10C6" w:rsidRPr="00C3053B">
              <w:rPr>
                <w:rFonts w:ascii="Arial" w:hAnsi="Arial" w:cs="Arial"/>
                <w:b/>
                <w:color w:val="000000"/>
                <w:sz w:val="18"/>
                <w:szCs w:val="18"/>
              </w:rPr>
              <w:t>%</w:t>
            </w:r>
          </w:p>
        </w:tc>
        <w:tc>
          <w:tcPr>
            <w:tcW w:w="1906" w:type="dxa"/>
            <w:tcBorders>
              <w:top w:val="nil"/>
              <w:left w:val="single" w:sz="4" w:space="0" w:color="31849B" w:themeColor="accent5" w:themeShade="BF"/>
              <w:bottom w:val="nil"/>
              <w:right w:val="nil"/>
            </w:tcBorders>
            <w:vAlign w:val="center"/>
          </w:tcPr>
          <w:p w14:paraId="711A3F85" w14:textId="77777777" w:rsidR="00FA10C6" w:rsidRPr="00C3053B" w:rsidRDefault="00FA10C6" w:rsidP="00D07BD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bCs/>
                <w:color w:val="000000" w:themeColor="text1"/>
                <w:sz w:val="18"/>
                <w:szCs w:val="18"/>
              </w:rPr>
              <w:t>Processed meat</w:t>
            </w:r>
          </w:p>
        </w:tc>
        <w:tc>
          <w:tcPr>
            <w:tcW w:w="990" w:type="dxa"/>
            <w:gridSpan w:val="2"/>
            <w:tcBorders>
              <w:top w:val="nil"/>
              <w:left w:val="nil"/>
              <w:bottom w:val="nil"/>
              <w:right w:val="nil"/>
            </w:tcBorders>
            <w:vAlign w:val="center"/>
          </w:tcPr>
          <w:p w14:paraId="1703D1F9" w14:textId="6F9A137E" w:rsidR="00FA10C6" w:rsidRPr="00C3053B" w:rsidRDefault="00FA10C6" w:rsidP="00D07BD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3053B">
              <w:rPr>
                <w:rFonts w:ascii="Arial" w:hAnsi="Arial" w:cs="Arial"/>
                <w:b/>
                <w:color w:val="000000"/>
                <w:sz w:val="18"/>
                <w:szCs w:val="18"/>
              </w:rPr>
              <w:t>$</w:t>
            </w:r>
            <w:r w:rsidR="00E213E7">
              <w:rPr>
                <w:rFonts w:ascii="Arial" w:hAnsi="Arial" w:cs="Arial"/>
                <w:b/>
                <w:color w:val="000000"/>
                <w:sz w:val="18"/>
                <w:szCs w:val="18"/>
              </w:rPr>
              <w:t>31.8</w:t>
            </w:r>
            <w:r w:rsidRPr="00C3053B">
              <w:rPr>
                <w:rFonts w:ascii="Arial" w:hAnsi="Arial" w:cs="Arial"/>
                <w:b/>
                <w:color w:val="000000"/>
                <w:sz w:val="18"/>
                <w:szCs w:val="18"/>
              </w:rPr>
              <w:t>B</w:t>
            </w:r>
          </w:p>
        </w:tc>
        <w:tc>
          <w:tcPr>
            <w:tcW w:w="1078" w:type="dxa"/>
            <w:tcBorders>
              <w:top w:val="nil"/>
              <w:left w:val="nil"/>
              <w:bottom w:val="nil"/>
              <w:right w:val="nil"/>
            </w:tcBorders>
            <w:vAlign w:val="center"/>
          </w:tcPr>
          <w:p w14:paraId="089AEC4A" w14:textId="452BFCD7" w:rsidR="00FA10C6" w:rsidRPr="00C3053B" w:rsidRDefault="00D07BDF" w:rsidP="00D07BD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w:t>
            </w:r>
            <w:r w:rsidR="00E213E7">
              <w:rPr>
                <w:rFonts w:ascii="Arial" w:hAnsi="Arial" w:cs="Arial"/>
                <w:b/>
                <w:color w:val="000000"/>
                <w:sz w:val="18"/>
                <w:szCs w:val="18"/>
              </w:rPr>
              <w:t>1.1</w:t>
            </w:r>
            <w:r w:rsidR="00FA10C6" w:rsidRPr="00C3053B">
              <w:rPr>
                <w:rFonts w:ascii="Arial" w:hAnsi="Arial" w:cs="Arial"/>
                <w:b/>
                <w:color w:val="000000"/>
                <w:sz w:val="18"/>
                <w:szCs w:val="18"/>
              </w:rPr>
              <w:t>%</w:t>
            </w:r>
          </w:p>
        </w:tc>
        <w:tc>
          <w:tcPr>
            <w:tcW w:w="1355" w:type="dxa"/>
            <w:tcBorders>
              <w:top w:val="nil"/>
              <w:left w:val="nil"/>
              <w:bottom w:val="nil"/>
            </w:tcBorders>
            <w:vAlign w:val="center"/>
          </w:tcPr>
          <w:p w14:paraId="3A679A84" w14:textId="55903A80" w:rsidR="00FA10C6" w:rsidRPr="00C3053B" w:rsidRDefault="00E213E7" w:rsidP="00D07BD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0.0</w:t>
            </w:r>
            <w:r w:rsidR="00FA10C6" w:rsidRPr="00C3053B">
              <w:rPr>
                <w:rFonts w:ascii="Arial" w:hAnsi="Arial" w:cs="Arial"/>
                <w:b/>
                <w:color w:val="000000"/>
                <w:sz w:val="18"/>
                <w:szCs w:val="18"/>
              </w:rPr>
              <w:t>%</w:t>
            </w:r>
          </w:p>
        </w:tc>
      </w:tr>
      <w:tr w:rsidR="00EC1479" w:rsidRPr="00525982" w14:paraId="3F7DAB1D"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09F03BB3" w14:textId="5A6180B8" w:rsidR="00EC1479" w:rsidRPr="00EF76E7" w:rsidRDefault="00EC1479" w:rsidP="00EC1479">
            <w:pPr>
              <w:pStyle w:val="NoSpacing"/>
              <w:rPr>
                <w:rFonts w:ascii="Arial" w:hAnsi="Arial" w:cs="Arial"/>
                <w:b w:val="0"/>
                <w:color w:val="000000" w:themeColor="text1"/>
                <w:sz w:val="18"/>
                <w:szCs w:val="18"/>
              </w:rPr>
            </w:pPr>
            <w:r w:rsidRPr="00EF76E7">
              <w:rPr>
                <w:rFonts w:ascii="Arial" w:hAnsi="Arial" w:cs="Arial"/>
                <w:b w:val="0"/>
                <w:color w:val="000000" w:themeColor="text1"/>
                <w:sz w:val="18"/>
                <w:szCs w:val="18"/>
              </w:rPr>
              <w:t>Packaged lunchmeat</w:t>
            </w:r>
          </w:p>
        </w:tc>
        <w:tc>
          <w:tcPr>
            <w:tcW w:w="995" w:type="dxa"/>
            <w:tcBorders>
              <w:top w:val="nil"/>
              <w:bottom w:val="nil"/>
            </w:tcBorders>
            <w:shd w:val="clear" w:color="auto" w:fill="D9D9D9" w:themeFill="background1" w:themeFillShade="D9"/>
          </w:tcPr>
          <w:p w14:paraId="602F01F1" w14:textId="204A90FE"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920E97">
              <w:rPr>
                <w:rFonts w:ascii="Arial" w:hAnsi="Arial" w:cs="Arial"/>
                <w:color w:val="auto"/>
                <w:sz w:val="18"/>
                <w:szCs w:val="18"/>
              </w:rPr>
              <w:t>$</w:t>
            </w:r>
            <w:r w:rsidR="00E213E7">
              <w:rPr>
                <w:rFonts w:ascii="Arial" w:hAnsi="Arial" w:cs="Arial"/>
                <w:color w:val="auto"/>
                <w:sz w:val="18"/>
                <w:szCs w:val="18"/>
              </w:rPr>
              <w:t>565</w:t>
            </w:r>
            <w:r w:rsidRPr="00920E97">
              <w:rPr>
                <w:rFonts w:ascii="Arial" w:hAnsi="Arial" w:cs="Arial"/>
                <w:color w:val="auto"/>
                <w:sz w:val="18"/>
                <w:szCs w:val="18"/>
              </w:rPr>
              <w:t>M</w:t>
            </w:r>
          </w:p>
        </w:tc>
        <w:tc>
          <w:tcPr>
            <w:tcW w:w="1085" w:type="dxa"/>
            <w:tcBorders>
              <w:top w:val="nil"/>
              <w:bottom w:val="nil"/>
            </w:tcBorders>
            <w:shd w:val="clear" w:color="auto" w:fill="D9D9D9" w:themeFill="background1" w:themeFillShade="D9"/>
            <w:vAlign w:val="center"/>
          </w:tcPr>
          <w:p w14:paraId="066A5212" w14:textId="38EB5021"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E213E7">
              <w:rPr>
                <w:rFonts w:ascii="Arial" w:hAnsi="Arial" w:cs="Arial"/>
                <w:color w:val="000000"/>
                <w:sz w:val="18"/>
                <w:szCs w:val="18"/>
              </w:rPr>
              <w:t>2.4</w:t>
            </w:r>
            <w:r w:rsidRPr="00216082">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shd w:val="clear" w:color="auto" w:fill="D9D9D9" w:themeFill="background1" w:themeFillShade="D9"/>
            <w:vAlign w:val="center"/>
          </w:tcPr>
          <w:p w14:paraId="37DB3603" w14:textId="4A2E091D"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E213E7">
              <w:rPr>
                <w:rFonts w:ascii="Arial" w:hAnsi="Arial" w:cs="Arial"/>
                <w:color w:val="000000"/>
                <w:sz w:val="18"/>
                <w:szCs w:val="18"/>
              </w:rPr>
              <w:t>2.3</w:t>
            </w:r>
            <w:r w:rsidRPr="00064D3D">
              <w:rPr>
                <w:rFonts w:ascii="Arial" w:hAnsi="Arial" w:cs="Arial"/>
                <w:color w:val="000000"/>
                <w:sz w:val="18"/>
                <w:szCs w:val="18"/>
              </w:rPr>
              <w:t>%</w:t>
            </w:r>
          </w:p>
        </w:tc>
        <w:tc>
          <w:tcPr>
            <w:tcW w:w="1906" w:type="dxa"/>
            <w:tcBorders>
              <w:top w:val="nil"/>
              <w:left w:val="single" w:sz="4" w:space="0" w:color="31849B" w:themeColor="accent5" w:themeShade="BF"/>
              <w:bottom w:val="nil"/>
            </w:tcBorders>
            <w:shd w:val="clear" w:color="auto" w:fill="D9D9D9" w:themeFill="background1" w:themeFillShade="D9"/>
            <w:vAlign w:val="center"/>
          </w:tcPr>
          <w:p w14:paraId="6FB3D0C7" w14:textId="3044CF16"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Bacon</w:t>
            </w:r>
          </w:p>
        </w:tc>
        <w:tc>
          <w:tcPr>
            <w:tcW w:w="990" w:type="dxa"/>
            <w:gridSpan w:val="2"/>
            <w:tcBorders>
              <w:top w:val="nil"/>
              <w:bottom w:val="nil"/>
            </w:tcBorders>
            <w:shd w:val="clear" w:color="auto" w:fill="D9D9D9" w:themeFill="background1" w:themeFillShade="D9"/>
          </w:tcPr>
          <w:p w14:paraId="605D4B44" w14:textId="268178F1"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A42DD">
              <w:rPr>
                <w:rFonts w:ascii="Arial" w:hAnsi="Arial" w:cs="Arial"/>
                <w:color w:val="000000"/>
                <w:sz w:val="18"/>
                <w:szCs w:val="18"/>
              </w:rPr>
              <w:t>$</w:t>
            </w:r>
            <w:r w:rsidR="00E213E7">
              <w:rPr>
                <w:rFonts w:ascii="Arial" w:hAnsi="Arial" w:cs="Arial"/>
                <w:color w:val="000000"/>
                <w:sz w:val="18"/>
                <w:szCs w:val="18"/>
              </w:rPr>
              <w:t>7.0</w:t>
            </w:r>
            <w:r w:rsidRPr="003A42DD">
              <w:rPr>
                <w:rFonts w:ascii="Arial" w:hAnsi="Arial" w:cs="Arial"/>
                <w:color w:val="000000"/>
                <w:sz w:val="18"/>
                <w:szCs w:val="18"/>
              </w:rPr>
              <w:t>B</w:t>
            </w:r>
          </w:p>
        </w:tc>
        <w:tc>
          <w:tcPr>
            <w:tcW w:w="1078" w:type="dxa"/>
            <w:tcBorders>
              <w:top w:val="nil"/>
              <w:bottom w:val="nil"/>
            </w:tcBorders>
            <w:shd w:val="clear" w:color="auto" w:fill="D9D9D9" w:themeFill="background1" w:themeFillShade="D9"/>
          </w:tcPr>
          <w:p w14:paraId="761D5BF9" w14:textId="2168A430"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C25B6">
              <w:rPr>
                <w:rFonts w:ascii="Arial" w:hAnsi="Arial" w:cs="Arial"/>
                <w:color w:val="000000"/>
                <w:sz w:val="18"/>
                <w:szCs w:val="18"/>
              </w:rPr>
              <w:t>+</w:t>
            </w:r>
            <w:r w:rsidR="00E213E7">
              <w:rPr>
                <w:rFonts w:ascii="Arial" w:hAnsi="Arial" w:cs="Arial"/>
                <w:color w:val="000000"/>
                <w:sz w:val="18"/>
                <w:szCs w:val="18"/>
              </w:rPr>
              <w:t>4.3</w:t>
            </w:r>
            <w:r w:rsidRPr="00AC25B6">
              <w:rPr>
                <w:rFonts w:ascii="Arial" w:hAnsi="Arial" w:cs="Arial"/>
                <w:color w:val="000000"/>
                <w:sz w:val="18"/>
                <w:szCs w:val="18"/>
              </w:rPr>
              <w:t>%</w:t>
            </w:r>
          </w:p>
        </w:tc>
        <w:tc>
          <w:tcPr>
            <w:tcW w:w="1355" w:type="dxa"/>
            <w:tcBorders>
              <w:top w:val="nil"/>
              <w:bottom w:val="nil"/>
            </w:tcBorders>
            <w:shd w:val="clear" w:color="auto" w:fill="D9D9D9" w:themeFill="background1" w:themeFillShade="D9"/>
          </w:tcPr>
          <w:p w14:paraId="5F5E4B5A" w14:textId="7E62682F"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C25B6">
              <w:rPr>
                <w:rFonts w:ascii="Arial" w:hAnsi="Arial" w:cs="Arial"/>
                <w:color w:val="000000"/>
                <w:sz w:val="18"/>
                <w:szCs w:val="18"/>
              </w:rPr>
              <w:t>+</w:t>
            </w:r>
            <w:r w:rsidR="00E213E7">
              <w:rPr>
                <w:rFonts w:ascii="Arial" w:hAnsi="Arial" w:cs="Arial"/>
                <w:color w:val="000000"/>
                <w:sz w:val="18"/>
                <w:szCs w:val="18"/>
              </w:rPr>
              <w:t>2.7</w:t>
            </w:r>
            <w:r w:rsidRPr="00AC25B6">
              <w:rPr>
                <w:rFonts w:ascii="Arial" w:hAnsi="Arial" w:cs="Arial"/>
                <w:color w:val="000000"/>
                <w:sz w:val="18"/>
                <w:szCs w:val="18"/>
              </w:rPr>
              <w:t>%</w:t>
            </w:r>
          </w:p>
        </w:tc>
      </w:tr>
      <w:tr w:rsidR="00EC1479" w:rsidRPr="00525982" w14:paraId="2B22B991"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531A5532" w14:textId="6AA6CA59" w:rsidR="00EC1479" w:rsidRPr="00EF76E7" w:rsidRDefault="00EC1479" w:rsidP="00EC1479">
            <w:pPr>
              <w:pStyle w:val="NoSpacing"/>
              <w:rPr>
                <w:rFonts w:ascii="Arial" w:hAnsi="Arial" w:cs="Arial"/>
                <w:b w:val="0"/>
                <w:bCs w:val="0"/>
                <w:color w:val="000000" w:themeColor="text1"/>
                <w:sz w:val="18"/>
                <w:szCs w:val="18"/>
              </w:rPr>
            </w:pPr>
            <w:r w:rsidRPr="00EF76E7">
              <w:rPr>
                <w:rFonts w:ascii="Arial" w:hAnsi="Arial" w:cs="Arial"/>
                <w:b w:val="0"/>
                <w:bCs w:val="0"/>
                <w:color w:val="000000" w:themeColor="text1"/>
                <w:sz w:val="18"/>
                <w:szCs w:val="18"/>
              </w:rPr>
              <w:t>Bacon</w:t>
            </w:r>
          </w:p>
        </w:tc>
        <w:tc>
          <w:tcPr>
            <w:tcW w:w="995" w:type="dxa"/>
            <w:tcBorders>
              <w:top w:val="nil"/>
              <w:bottom w:val="nil"/>
            </w:tcBorders>
          </w:tcPr>
          <w:p w14:paraId="34433AF4" w14:textId="28D0F881"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920E97">
              <w:rPr>
                <w:rFonts w:ascii="Arial" w:hAnsi="Arial" w:cs="Arial"/>
                <w:color w:val="auto"/>
                <w:sz w:val="18"/>
                <w:szCs w:val="18"/>
              </w:rPr>
              <w:t>$</w:t>
            </w:r>
            <w:r w:rsidR="00E213E7">
              <w:rPr>
                <w:rFonts w:ascii="Arial" w:hAnsi="Arial" w:cs="Arial"/>
                <w:color w:val="auto"/>
                <w:sz w:val="18"/>
                <w:szCs w:val="18"/>
              </w:rPr>
              <w:t>535</w:t>
            </w:r>
            <w:r w:rsidRPr="00920E97">
              <w:rPr>
                <w:rFonts w:ascii="Arial" w:hAnsi="Arial" w:cs="Arial"/>
                <w:color w:val="auto"/>
                <w:sz w:val="18"/>
                <w:szCs w:val="18"/>
              </w:rPr>
              <w:t>M</w:t>
            </w:r>
          </w:p>
        </w:tc>
        <w:tc>
          <w:tcPr>
            <w:tcW w:w="1085" w:type="dxa"/>
            <w:tcBorders>
              <w:top w:val="nil"/>
              <w:bottom w:val="nil"/>
            </w:tcBorders>
          </w:tcPr>
          <w:p w14:paraId="123969AD" w14:textId="25159431" w:rsidR="00EC1479" w:rsidRPr="006A3676"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35580">
              <w:rPr>
                <w:rFonts w:ascii="Arial" w:hAnsi="Arial" w:cs="Arial"/>
                <w:color w:val="000000"/>
                <w:sz w:val="18"/>
                <w:szCs w:val="18"/>
              </w:rPr>
              <w:t>+</w:t>
            </w:r>
            <w:r w:rsidR="00E213E7">
              <w:rPr>
                <w:rFonts w:ascii="Arial" w:hAnsi="Arial" w:cs="Arial"/>
                <w:color w:val="000000"/>
                <w:sz w:val="18"/>
                <w:szCs w:val="18"/>
              </w:rPr>
              <w:t>2.5</w:t>
            </w:r>
            <w:r w:rsidRPr="00835580">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tcPr>
          <w:p w14:paraId="3F97CCD1" w14:textId="2C694D9D" w:rsidR="00EC1479" w:rsidRPr="006A3676"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35580">
              <w:rPr>
                <w:rFonts w:ascii="Arial" w:hAnsi="Arial" w:cs="Arial"/>
                <w:color w:val="000000"/>
                <w:sz w:val="18"/>
                <w:szCs w:val="18"/>
              </w:rPr>
              <w:t>+</w:t>
            </w:r>
            <w:r w:rsidR="00E213E7">
              <w:rPr>
                <w:rFonts w:ascii="Arial" w:hAnsi="Arial" w:cs="Arial"/>
                <w:color w:val="000000"/>
                <w:sz w:val="18"/>
                <w:szCs w:val="18"/>
              </w:rPr>
              <w:t>0.9</w:t>
            </w:r>
            <w:r w:rsidRPr="00835580">
              <w:rPr>
                <w:rFonts w:ascii="Arial" w:hAnsi="Arial" w:cs="Arial"/>
                <w:color w:val="000000"/>
                <w:sz w:val="18"/>
                <w:szCs w:val="18"/>
              </w:rPr>
              <w:t>%</w:t>
            </w:r>
          </w:p>
        </w:tc>
        <w:tc>
          <w:tcPr>
            <w:tcW w:w="1906" w:type="dxa"/>
            <w:tcBorders>
              <w:top w:val="nil"/>
              <w:left w:val="single" w:sz="4" w:space="0" w:color="31849B" w:themeColor="accent5" w:themeShade="BF"/>
              <w:bottom w:val="nil"/>
            </w:tcBorders>
            <w:vAlign w:val="center"/>
          </w:tcPr>
          <w:p w14:paraId="3D9945E4" w14:textId="7961B50C" w:rsidR="00EC1479" w:rsidRPr="006A3676"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A3676">
              <w:rPr>
                <w:rFonts w:ascii="Arial" w:hAnsi="Arial" w:cs="Arial"/>
                <w:color w:val="000000" w:themeColor="text1"/>
                <w:sz w:val="18"/>
                <w:szCs w:val="18"/>
              </w:rPr>
              <w:t>Packaged lunchmeat</w:t>
            </w:r>
            <w:r>
              <w:rPr>
                <w:rFonts w:ascii="Arial" w:hAnsi="Arial" w:cs="Arial"/>
                <w:color w:val="000000" w:themeColor="text1"/>
                <w:sz w:val="18"/>
                <w:szCs w:val="18"/>
              </w:rPr>
              <w:t xml:space="preserve"> </w:t>
            </w:r>
          </w:p>
        </w:tc>
        <w:tc>
          <w:tcPr>
            <w:tcW w:w="990" w:type="dxa"/>
            <w:gridSpan w:val="2"/>
            <w:tcBorders>
              <w:top w:val="nil"/>
              <w:bottom w:val="nil"/>
            </w:tcBorders>
          </w:tcPr>
          <w:p w14:paraId="3C1B1F1C" w14:textId="1A72B79A" w:rsidR="00EC1479" w:rsidRPr="006A3676"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A42DD">
              <w:rPr>
                <w:rFonts w:ascii="Arial" w:hAnsi="Arial" w:cs="Arial"/>
                <w:color w:val="000000"/>
                <w:sz w:val="18"/>
                <w:szCs w:val="18"/>
              </w:rPr>
              <w:t>$</w:t>
            </w:r>
            <w:r w:rsidR="00E213E7">
              <w:rPr>
                <w:rFonts w:ascii="Arial" w:hAnsi="Arial" w:cs="Arial"/>
                <w:color w:val="000000"/>
                <w:sz w:val="18"/>
                <w:szCs w:val="18"/>
              </w:rPr>
              <w:t>7.0</w:t>
            </w:r>
            <w:r w:rsidRPr="003A42DD">
              <w:rPr>
                <w:rFonts w:ascii="Arial" w:hAnsi="Arial" w:cs="Arial"/>
                <w:color w:val="000000"/>
                <w:sz w:val="18"/>
                <w:szCs w:val="18"/>
              </w:rPr>
              <w:t>B</w:t>
            </w:r>
          </w:p>
        </w:tc>
        <w:tc>
          <w:tcPr>
            <w:tcW w:w="1078" w:type="dxa"/>
            <w:tcBorders>
              <w:top w:val="nil"/>
              <w:bottom w:val="nil"/>
            </w:tcBorders>
          </w:tcPr>
          <w:p w14:paraId="7785427F" w14:textId="02028F23" w:rsidR="00EC1479" w:rsidRPr="006A3676" w:rsidRDefault="00E213E7"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-1.3</w:t>
            </w:r>
            <w:r w:rsidR="00EC1479" w:rsidRPr="00AC25B6">
              <w:rPr>
                <w:rFonts w:ascii="Arial" w:hAnsi="Arial" w:cs="Arial"/>
                <w:color w:val="000000"/>
                <w:sz w:val="18"/>
                <w:szCs w:val="18"/>
              </w:rPr>
              <w:t>%</w:t>
            </w:r>
          </w:p>
        </w:tc>
        <w:tc>
          <w:tcPr>
            <w:tcW w:w="1355" w:type="dxa"/>
            <w:tcBorders>
              <w:top w:val="nil"/>
              <w:bottom w:val="nil"/>
            </w:tcBorders>
          </w:tcPr>
          <w:p w14:paraId="4E54ED5C" w14:textId="6DD94F88" w:rsidR="00EC1479" w:rsidRPr="006A3676" w:rsidRDefault="00E213E7"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-2.5</w:t>
            </w:r>
            <w:r w:rsidR="00EC1479" w:rsidRPr="00AC25B6">
              <w:rPr>
                <w:rFonts w:ascii="Arial" w:hAnsi="Arial" w:cs="Arial"/>
                <w:color w:val="000000"/>
                <w:sz w:val="18"/>
                <w:szCs w:val="18"/>
              </w:rPr>
              <w:t>%</w:t>
            </w:r>
          </w:p>
        </w:tc>
      </w:tr>
      <w:tr w:rsidR="00EC1479" w:rsidRPr="00525982" w14:paraId="02291F83"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6E35ACAA" w14:textId="77777777" w:rsidR="00EC1479" w:rsidRPr="006A3676" w:rsidRDefault="00EC1479" w:rsidP="00EC1479">
            <w:pPr>
              <w:pStyle w:val="NoSpacing"/>
              <w:rPr>
                <w:rFonts w:ascii="Arial" w:hAnsi="Arial" w:cs="Arial"/>
                <w:b w:val="0"/>
                <w:bCs w:val="0"/>
                <w:color w:val="000000" w:themeColor="text1"/>
                <w:sz w:val="18"/>
                <w:szCs w:val="18"/>
              </w:rPr>
            </w:pPr>
            <w:r w:rsidRPr="006A3676">
              <w:rPr>
                <w:rFonts w:ascii="Arial" w:hAnsi="Arial" w:cs="Arial"/>
                <w:b w:val="0"/>
                <w:color w:val="000000" w:themeColor="text1"/>
                <w:sz w:val="18"/>
                <w:szCs w:val="18"/>
              </w:rPr>
              <w:t>Dinner sausage</w:t>
            </w:r>
          </w:p>
        </w:tc>
        <w:tc>
          <w:tcPr>
            <w:tcW w:w="995" w:type="dxa"/>
            <w:tcBorders>
              <w:top w:val="nil"/>
              <w:bottom w:val="nil"/>
            </w:tcBorders>
            <w:shd w:val="clear" w:color="auto" w:fill="D9D9D9" w:themeFill="background1" w:themeFillShade="D9"/>
          </w:tcPr>
          <w:p w14:paraId="1C2DF06B" w14:textId="0242E098"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920E97">
              <w:rPr>
                <w:rFonts w:ascii="Arial" w:hAnsi="Arial" w:cs="Arial"/>
                <w:color w:val="auto"/>
                <w:sz w:val="18"/>
                <w:szCs w:val="18"/>
              </w:rPr>
              <w:t>$</w:t>
            </w:r>
            <w:r w:rsidR="00E213E7">
              <w:rPr>
                <w:rFonts w:ascii="Arial" w:hAnsi="Arial" w:cs="Arial"/>
                <w:color w:val="auto"/>
                <w:sz w:val="18"/>
                <w:szCs w:val="18"/>
              </w:rPr>
              <w:t>481</w:t>
            </w:r>
            <w:r w:rsidRPr="00920E97">
              <w:rPr>
                <w:rFonts w:ascii="Arial" w:hAnsi="Arial" w:cs="Arial"/>
                <w:color w:val="auto"/>
                <w:sz w:val="18"/>
                <w:szCs w:val="18"/>
              </w:rPr>
              <w:t>M</w:t>
            </w:r>
          </w:p>
        </w:tc>
        <w:tc>
          <w:tcPr>
            <w:tcW w:w="1085" w:type="dxa"/>
            <w:tcBorders>
              <w:top w:val="nil"/>
              <w:bottom w:val="nil"/>
            </w:tcBorders>
            <w:shd w:val="clear" w:color="auto" w:fill="D9D9D9" w:themeFill="background1" w:themeFillShade="D9"/>
          </w:tcPr>
          <w:p w14:paraId="296CF9B0" w14:textId="10EF2AE3"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835580">
              <w:rPr>
                <w:rFonts w:ascii="Arial" w:hAnsi="Arial" w:cs="Arial"/>
                <w:color w:val="000000"/>
                <w:sz w:val="18"/>
                <w:szCs w:val="18"/>
              </w:rPr>
              <w:t>+</w:t>
            </w:r>
            <w:r w:rsidR="00E213E7">
              <w:rPr>
                <w:rFonts w:ascii="Arial" w:hAnsi="Arial" w:cs="Arial"/>
                <w:color w:val="000000"/>
                <w:sz w:val="18"/>
                <w:szCs w:val="18"/>
              </w:rPr>
              <w:t>1.3</w:t>
            </w:r>
            <w:r w:rsidRPr="00835580">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shd w:val="clear" w:color="auto" w:fill="D9D9D9" w:themeFill="background1" w:themeFillShade="D9"/>
          </w:tcPr>
          <w:p w14:paraId="54B38CFC" w14:textId="54BC7EA6" w:rsidR="00EC1479" w:rsidRPr="006A3676" w:rsidRDefault="00E213E7"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-0.2</w:t>
            </w:r>
            <w:r w:rsidR="00EC1479" w:rsidRPr="00835580">
              <w:rPr>
                <w:rFonts w:ascii="Arial" w:hAnsi="Arial" w:cs="Arial"/>
                <w:color w:val="000000"/>
                <w:sz w:val="18"/>
                <w:szCs w:val="18"/>
              </w:rPr>
              <w:t>%</w:t>
            </w:r>
          </w:p>
        </w:tc>
        <w:tc>
          <w:tcPr>
            <w:tcW w:w="1906" w:type="dxa"/>
            <w:tcBorders>
              <w:top w:val="nil"/>
              <w:left w:val="single" w:sz="4" w:space="0" w:color="31849B" w:themeColor="accent5" w:themeShade="BF"/>
              <w:bottom w:val="nil"/>
            </w:tcBorders>
            <w:shd w:val="clear" w:color="auto" w:fill="D9D9D9" w:themeFill="background1" w:themeFillShade="D9"/>
            <w:vAlign w:val="center"/>
          </w:tcPr>
          <w:p w14:paraId="0734744B" w14:textId="77777777"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A3676">
              <w:rPr>
                <w:rFonts w:ascii="Arial" w:hAnsi="Arial" w:cs="Arial"/>
                <w:color w:val="000000" w:themeColor="text1"/>
                <w:sz w:val="18"/>
                <w:szCs w:val="18"/>
              </w:rPr>
              <w:t>Dinner sausage</w:t>
            </w:r>
          </w:p>
        </w:tc>
        <w:tc>
          <w:tcPr>
            <w:tcW w:w="990" w:type="dxa"/>
            <w:gridSpan w:val="2"/>
            <w:tcBorders>
              <w:top w:val="nil"/>
              <w:bottom w:val="nil"/>
            </w:tcBorders>
            <w:shd w:val="clear" w:color="auto" w:fill="D9D9D9" w:themeFill="background1" w:themeFillShade="D9"/>
          </w:tcPr>
          <w:p w14:paraId="025E256F" w14:textId="77FC70BB"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3A42DD">
              <w:rPr>
                <w:rFonts w:ascii="Arial" w:hAnsi="Arial" w:cs="Arial"/>
                <w:color w:val="000000"/>
                <w:sz w:val="18"/>
                <w:szCs w:val="18"/>
              </w:rPr>
              <w:t>$</w:t>
            </w:r>
            <w:r w:rsidR="00E213E7">
              <w:rPr>
                <w:rFonts w:ascii="Arial" w:hAnsi="Arial" w:cs="Arial"/>
                <w:color w:val="000000"/>
                <w:sz w:val="18"/>
                <w:szCs w:val="18"/>
              </w:rPr>
              <w:t>5.7</w:t>
            </w:r>
            <w:r w:rsidRPr="003A42DD">
              <w:rPr>
                <w:rFonts w:ascii="Arial" w:hAnsi="Arial" w:cs="Arial"/>
                <w:color w:val="000000"/>
                <w:sz w:val="18"/>
                <w:szCs w:val="18"/>
              </w:rPr>
              <w:t>B</w:t>
            </w:r>
          </w:p>
        </w:tc>
        <w:tc>
          <w:tcPr>
            <w:tcW w:w="1078" w:type="dxa"/>
            <w:tcBorders>
              <w:top w:val="nil"/>
              <w:bottom w:val="nil"/>
            </w:tcBorders>
            <w:shd w:val="clear" w:color="auto" w:fill="D9D9D9" w:themeFill="background1" w:themeFillShade="D9"/>
          </w:tcPr>
          <w:p w14:paraId="70CED209" w14:textId="21B6F9D4"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C25B6">
              <w:rPr>
                <w:rFonts w:ascii="Arial" w:hAnsi="Arial" w:cs="Arial"/>
                <w:color w:val="000000"/>
                <w:sz w:val="18"/>
                <w:szCs w:val="18"/>
              </w:rPr>
              <w:t>+</w:t>
            </w:r>
            <w:r w:rsidR="00E213E7">
              <w:rPr>
                <w:rFonts w:ascii="Arial" w:hAnsi="Arial" w:cs="Arial"/>
                <w:color w:val="000000"/>
                <w:sz w:val="18"/>
                <w:szCs w:val="18"/>
              </w:rPr>
              <w:t>3.7</w:t>
            </w:r>
            <w:r w:rsidRPr="00AC25B6">
              <w:rPr>
                <w:rFonts w:ascii="Arial" w:hAnsi="Arial" w:cs="Arial"/>
                <w:color w:val="000000"/>
                <w:sz w:val="18"/>
                <w:szCs w:val="18"/>
              </w:rPr>
              <w:t>%</w:t>
            </w:r>
          </w:p>
        </w:tc>
        <w:tc>
          <w:tcPr>
            <w:tcW w:w="1355" w:type="dxa"/>
            <w:tcBorders>
              <w:top w:val="nil"/>
              <w:bottom w:val="nil"/>
            </w:tcBorders>
            <w:shd w:val="clear" w:color="auto" w:fill="D9D9D9" w:themeFill="background1" w:themeFillShade="D9"/>
          </w:tcPr>
          <w:p w14:paraId="495CA4BF" w14:textId="5AC4BDEA"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C25B6">
              <w:rPr>
                <w:rFonts w:ascii="Arial" w:hAnsi="Arial" w:cs="Arial"/>
                <w:color w:val="000000"/>
                <w:sz w:val="18"/>
                <w:szCs w:val="18"/>
              </w:rPr>
              <w:t>+</w:t>
            </w:r>
            <w:r w:rsidR="00E213E7">
              <w:rPr>
                <w:rFonts w:ascii="Arial" w:hAnsi="Arial" w:cs="Arial"/>
                <w:color w:val="000000"/>
                <w:sz w:val="18"/>
                <w:szCs w:val="18"/>
              </w:rPr>
              <w:t>3.4</w:t>
            </w:r>
            <w:r w:rsidRPr="00AC25B6">
              <w:rPr>
                <w:rFonts w:ascii="Arial" w:hAnsi="Arial" w:cs="Arial"/>
                <w:color w:val="000000"/>
                <w:sz w:val="18"/>
                <w:szCs w:val="18"/>
              </w:rPr>
              <w:t>%</w:t>
            </w:r>
          </w:p>
        </w:tc>
      </w:tr>
      <w:tr w:rsidR="00EC1479" w:rsidRPr="00525982" w14:paraId="07A8DA9F"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EAA9C2F" w14:textId="2D9895B7" w:rsidR="00EC1479" w:rsidRPr="00EF76E7" w:rsidRDefault="00EC1479" w:rsidP="00EC1479">
            <w:pPr>
              <w:pStyle w:val="NoSpacing"/>
              <w:rPr>
                <w:rFonts w:ascii="Arial" w:hAnsi="Arial" w:cs="Arial"/>
                <w:b w:val="0"/>
                <w:bCs w:val="0"/>
                <w:color w:val="000000" w:themeColor="text1"/>
                <w:sz w:val="18"/>
                <w:szCs w:val="18"/>
              </w:rPr>
            </w:pPr>
            <w:r w:rsidRPr="00EF76E7">
              <w:rPr>
                <w:rFonts w:ascii="Arial" w:hAnsi="Arial" w:cs="Arial"/>
                <w:b w:val="0"/>
                <w:color w:val="000000" w:themeColor="text1"/>
                <w:sz w:val="18"/>
                <w:szCs w:val="18"/>
              </w:rPr>
              <w:t>Frankfurters</w:t>
            </w:r>
          </w:p>
        </w:tc>
        <w:tc>
          <w:tcPr>
            <w:tcW w:w="995" w:type="dxa"/>
            <w:tcBorders>
              <w:top w:val="nil"/>
              <w:bottom w:val="nil"/>
            </w:tcBorders>
          </w:tcPr>
          <w:p w14:paraId="7236AEBC" w14:textId="3D68DC0F"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920E97">
              <w:rPr>
                <w:rFonts w:ascii="Arial" w:hAnsi="Arial" w:cs="Arial"/>
                <w:color w:val="auto"/>
                <w:sz w:val="18"/>
                <w:szCs w:val="18"/>
              </w:rPr>
              <w:t>$</w:t>
            </w:r>
            <w:r w:rsidR="00E213E7">
              <w:rPr>
                <w:rFonts w:ascii="Arial" w:hAnsi="Arial" w:cs="Arial"/>
                <w:color w:val="auto"/>
                <w:sz w:val="18"/>
                <w:szCs w:val="18"/>
              </w:rPr>
              <w:t>322</w:t>
            </w:r>
            <w:r w:rsidRPr="00920E97">
              <w:rPr>
                <w:rFonts w:ascii="Arial" w:hAnsi="Arial" w:cs="Arial"/>
                <w:color w:val="auto"/>
                <w:sz w:val="18"/>
                <w:szCs w:val="18"/>
              </w:rPr>
              <w:t>M</w:t>
            </w:r>
          </w:p>
        </w:tc>
        <w:tc>
          <w:tcPr>
            <w:tcW w:w="1085" w:type="dxa"/>
            <w:tcBorders>
              <w:top w:val="nil"/>
              <w:bottom w:val="nil"/>
            </w:tcBorders>
            <w:vAlign w:val="center"/>
          </w:tcPr>
          <w:p w14:paraId="36DA5636" w14:textId="03988851" w:rsidR="00EC1479" w:rsidRPr="006A3676"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E213E7">
              <w:rPr>
                <w:rFonts w:ascii="Arial" w:hAnsi="Arial" w:cs="Arial"/>
                <w:color w:val="000000"/>
                <w:sz w:val="18"/>
                <w:szCs w:val="18"/>
              </w:rPr>
              <w:t>1.4</w:t>
            </w:r>
            <w:r w:rsidRPr="00216082">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vAlign w:val="center"/>
          </w:tcPr>
          <w:p w14:paraId="712A2F74" w14:textId="7A792E08" w:rsidR="00EC1479" w:rsidRPr="006A3676"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E213E7">
              <w:rPr>
                <w:rFonts w:ascii="Arial" w:hAnsi="Arial" w:cs="Arial"/>
                <w:color w:val="000000"/>
                <w:sz w:val="18"/>
                <w:szCs w:val="18"/>
              </w:rPr>
              <w:t>6.0</w:t>
            </w:r>
            <w:r w:rsidRPr="00064D3D">
              <w:rPr>
                <w:rFonts w:ascii="Arial" w:hAnsi="Arial" w:cs="Arial"/>
                <w:color w:val="000000"/>
                <w:sz w:val="18"/>
                <w:szCs w:val="18"/>
              </w:rPr>
              <w:t>%</w:t>
            </w:r>
          </w:p>
        </w:tc>
        <w:tc>
          <w:tcPr>
            <w:tcW w:w="1906" w:type="dxa"/>
            <w:tcBorders>
              <w:top w:val="nil"/>
              <w:left w:val="single" w:sz="4" w:space="0" w:color="31849B" w:themeColor="accent5" w:themeShade="BF"/>
              <w:bottom w:val="nil"/>
            </w:tcBorders>
            <w:vAlign w:val="center"/>
          </w:tcPr>
          <w:p w14:paraId="7A6B6D2C" w14:textId="77777777" w:rsidR="00EC1479" w:rsidRPr="006A3676"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6A3676">
              <w:rPr>
                <w:rFonts w:ascii="Arial" w:hAnsi="Arial" w:cs="Arial"/>
                <w:color w:val="000000" w:themeColor="text1"/>
                <w:sz w:val="18"/>
                <w:szCs w:val="18"/>
              </w:rPr>
              <w:t>Frankfurters</w:t>
            </w:r>
          </w:p>
        </w:tc>
        <w:tc>
          <w:tcPr>
            <w:tcW w:w="990" w:type="dxa"/>
            <w:gridSpan w:val="2"/>
            <w:tcBorders>
              <w:top w:val="nil"/>
              <w:bottom w:val="nil"/>
            </w:tcBorders>
          </w:tcPr>
          <w:p w14:paraId="064830E4" w14:textId="546B0D68" w:rsidR="00EC1479" w:rsidRPr="006A3676"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3A42DD">
              <w:rPr>
                <w:rFonts w:ascii="Arial" w:hAnsi="Arial" w:cs="Arial"/>
                <w:color w:val="000000"/>
                <w:sz w:val="18"/>
                <w:szCs w:val="18"/>
              </w:rPr>
              <w:t>$</w:t>
            </w:r>
            <w:r w:rsidR="00E213E7">
              <w:rPr>
                <w:rFonts w:ascii="Arial" w:hAnsi="Arial" w:cs="Arial"/>
                <w:color w:val="000000"/>
                <w:sz w:val="18"/>
                <w:szCs w:val="18"/>
              </w:rPr>
              <w:t>3.2</w:t>
            </w:r>
            <w:r w:rsidRPr="003A42DD">
              <w:rPr>
                <w:rFonts w:ascii="Arial" w:hAnsi="Arial" w:cs="Arial"/>
                <w:color w:val="000000"/>
                <w:sz w:val="18"/>
                <w:szCs w:val="18"/>
              </w:rPr>
              <w:t>B</w:t>
            </w:r>
          </w:p>
        </w:tc>
        <w:tc>
          <w:tcPr>
            <w:tcW w:w="1078" w:type="dxa"/>
            <w:tcBorders>
              <w:top w:val="nil"/>
              <w:bottom w:val="nil"/>
            </w:tcBorders>
          </w:tcPr>
          <w:p w14:paraId="1A8850B4" w14:textId="71612457" w:rsidR="00EC1479" w:rsidRPr="006A3676"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C25B6">
              <w:rPr>
                <w:rFonts w:ascii="Arial" w:hAnsi="Arial" w:cs="Arial"/>
                <w:color w:val="000000"/>
                <w:sz w:val="18"/>
                <w:szCs w:val="18"/>
              </w:rPr>
              <w:t>+</w:t>
            </w:r>
            <w:r w:rsidR="00E213E7">
              <w:rPr>
                <w:rFonts w:ascii="Arial" w:hAnsi="Arial" w:cs="Arial"/>
                <w:color w:val="000000"/>
                <w:sz w:val="18"/>
                <w:szCs w:val="18"/>
              </w:rPr>
              <w:t>2.2</w:t>
            </w:r>
            <w:r w:rsidRPr="00AC25B6">
              <w:rPr>
                <w:rFonts w:ascii="Arial" w:hAnsi="Arial" w:cs="Arial"/>
                <w:color w:val="000000"/>
                <w:sz w:val="18"/>
                <w:szCs w:val="18"/>
              </w:rPr>
              <w:t>%</w:t>
            </w:r>
          </w:p>
        </w:tc>
        <w:tc>
          <w:tcPr>
            <w:tcW w:w="1355" w:type="dxa"/>
            <w:tcBorders>
              <w:top w:val="nil"/>
              <w:bottom w:val="nil"/>
            </w:tcBorders>
          </w:tcPr>
          <w:p w14:paraId="7A8CD3DE" w14:textId="3A0ECD08" w:rsidR="00EC1479" w:rsidRPr="006A3676" w:rsidRDefault="00E213E7"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-1.1</w:t>
            </w:r>
            <w:r w:rsidR="00EC1479" w:rsidRPr="00AC25B6">
              <w:rPr>
                <w:rFonts w:ascii="Arial" w:hAnsi="Arial" w:cs="Arial"/>
                <w:color w:val="000000"/>
                <w:sz w:val="18"/>
                <w:szCs w:val="18"/>
              </w:rPr>
              <w:t>%</w:t>
            </w:r>
          </w:p>
        </w:tc>
      </w:tr>
      <w:tr w:rsidR="00EC1479" w:rsidRPr="00525982" w14:paraId="28641EBA"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73D7B9AF" w14:textId="10850B1F" w:rsidR="00EC1479" w:rsidRPr="00EF76E7" w:rsidRDefault="00EC1479" w:rsidP="00EC1479">
            <w:pPr>
              <w:pStyle w:val="NoSpacing"/>
              <w:rPr>
                <w:rFonts w:ascii="Arial" w:hAnsi="Arial" w:cs="Arial"/>
                <w:b w:val="0"/>
                <w:bCs w:val="0"/>
                <w:color w:val="000000" w:themeColor="text1"/>
                <w:sz w:val="18"/>
                <w:szCs w:val="18"/>
              </w:rPr>
            </w:pPr>
            <w:r w:rsidRPr="00EF76E7">
              <w:rPr>
                <w:rFonts w:ascii="Arial" w:hAnsi="Arial" w:cs="Arial"/>
                <w:b w:val="0"/>
                <w:color w:val="000000" w:themeColor="text1"/>
                <w:sz w:val="18"/>
                <w:szCs w:val="18"/>
              </w:rPr>
              <w:t>Breakfast sausage</w:t>
            </w:r>
          </w:p>
        </w:tc>
        <w:tc>
          <w:tcPr>
            <w:tcW w:w="995" w:type="dxa"/>
            <w:tcBorders>
              <w:top w:val="nil"/>
              <w:bottom w:val="nil"/>
            </w:tcBorders>
            <w:shd w:val="clear" w:color="auto" w:fill="D9D9D9" w:themeFill="background1" w:themeFillShade="D9"/>
          </w:tcPr>
          <w:p w14:paraId="35FB6A0F" w14:textId="736E72A2"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920E97">
              <w:rPr>
                <w:rFonts w:ascii="Arial" w:hAnsi="Arial" w:cs="Arial"/>
                <w:color w:val="auto"/>
                <w:sz w:val="18"/>
                <w:szCs w:val="18"/>
              </w:rPr>
              <w:t>$</w:t>
            </w:r>
            <w:r w:rsidR="00E213E7">
              <w:rPr>
                <w:rFonts w:ascii="Arial" w:hAnsi="Arial" w:cs="Arial"/>
                <w:color w:val="auto"/>
                <w:sz w:val="18"/>
                <w:szCs w:val="18"/>
              </w:rPr>
              <w:t>174</w:t>
            </w:r>
            <w:r w:rsidRPr="00920E97">
              <w:rPr>
                <w:rFonts w:ascii="Arial" w:hAnsi="Arial" w:cs="Arial"/>
                <w:color w:val="auto"/>
                <w:sz w:val="18"/>
                <w:szCs w:val="18"/>
              </w:rPr>
              <w:t>M</w:t>
            </w:r>
          </w:p>
        </w:tc>
        <w:tc>
          <w:tcPr>
            <w:tcW w:w="1085" w:type="dxa"/>
            <w:tcBorders>
              <w:top w:val="nil"/>
              <w:bottom w:val="nil"/>
            </w:tcBorders>
            <w:shd w:val="clear" w:color="auto" w:fill="D9D9D9" w:themeFill="background1" w:themeFillShade="D9"/>
          </w:tcPr>
          <w:p w14:paraId="0920821E" w14:textId="3C691735"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917D34">
              <w:rPr>
                <w:rFonts w:ascii="Arial" w:hAnsi="Arial" w:cs="Arial"/>
                <w:color w:val="000000"/>
                <w:sz w:val="18"/>
                <w:szCs w:val="18"/>
              </w:rPr>
              <w:t>+</w:t>
            </w:r>
            <w:r w:rsidR="00E213E7">
              <w:rPr>
                <w:rFonts w:ascii="Arial" w:hAnsi="Arial" w:cs="Arial"/>
                <w:color w:val="000000"/>
                <w:sz w:val="18"/>
                <w:szCs w:val="18"/>
              </w:rPr>
              <w:t>3.1</w:t>
            </w:r>
            <w:r w:rsidRPr="00917D34">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shd w:val="clear" w:color="auto" w:fill="D9D9D9" w:themeFill="background1" w:themeFillShade="D9"/>
          </w:tcPr>
          <w:p w14:paraId="3F2C6302" w14:textId="46564202"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917D34">
              <w:rPr>
                <w:rFonts w:ascii="Arial" w:hAnsi="Arial" w:cs="Arial"/>
                <w:color w:val="000000"/>
                <w:sz w:val="18"/>
                <w:szCs w:val="18"/>
              </w:rPr>
              <w:t>+</w:t>
            </w:r>
            <w:r w:rsidR="00E213E7">
              <w:rPr>
                <w:rFonts w:ascii="Arial" w:hAnsi="Arial" w:cs="Arial"/>
                <w:color w:val="000000"/>
                <w:sz w:val="18"/>
                <w:szCs w:val="18"/>
              </w:rPr>
              <w:t>3.1</w:t>
            </w:r>
            <w:r w:rsidRPr="00917D34">
              <w:rPr>
                <w:rFonts w:ascii="Arial" w:hAnsi="Arial" w:cs="Arial"/>
                <w:color w:val="000000"/>
                <w:sz w:val="18"/>
                <w:szCs w:val="18"/>
              </w:rPr>
              <w:t>%</w:t>
            </w:r>
          </w:p>
        </w:tc>
        <w:tc>
          <w:tcPr>
            <w:tcW w:w="1906" w:type="dxa"/>
            <w:tcBorders>
              <w:top w:val="nil"/>
              <w:left w:val="single" w:sz="4" w:space="0" w:color="31849B" w:themeColor="accent5" w:themeShade="BF"/>
              <w:bottom w:val="nil"/>
            </w:tcBorders>
            <w:shd w:val="clear" w:color="auto" w:fill="D9D9D9" w:themeFill="background1" w:themeFillShade="D9"/>
            <w:vAlign w:val="center"/>
          </w:tcPr>
          <w:p w14:paraId="24DF20B7" w14:textId="77777777"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A3676">
              <w:rPr>
                <w:rFonts w:ascii="Arial" w:hAnsi="Arial" w:cs="Arial"/>
                <w:color w:val="000000" w:themeColor="text1"/>
                <w:sz w:val="18"/>
                <w:szCs w:val="18"/>
              </w:rPr>
              <w:t>Breakfast sausage</w:t>
            </w:r>
          </w:p>
        </w:tc>
        <w:tc>
          <w:tcPr>
            <w:tcW w:w="990" w:type="dxa"/>
            <w:gridSpan w:val="2"/>
            <w:tcBorders>
              <w:top w:val="nil"/>
              <w:bottom w:val="nil"/>
            </w:tcBorders>
            <w:shd w:val="clear" w:color="auto" w:fill="D9D9D9" w:themeFill="background1" w:themeFillShade="D9"/>
          </w:tcPr>
          <w:p w14:paraId="1EF6CFEB" w14:textId="5FCB709F"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3A42DD">
              <w:rPr>
                <w:rFonts w:ascii="Arial" w:hAnsi="Arial" w:cs="Arial"/>
                <w:color w:val="000000"/>
                <w:sz w:val="18"/>
                <w:szCs w:val="18"/>
              </w:rPr>
              <w:t>$</w:t>
            </w:r>
            <w:r w:rsidR="00E213E7">
              <w:rPr>
                <w:rFonts w:ascii="Arial" w:hAnsi="Arial" w:cs="Arial"/>
                <w:color w:val="000000"/>
                <w:sz w:val="18"/>
                <w:szCs w:val="18"/>
              </w:rPr>
              <w:t>2.5</w:t>
            </w:r>
            <w:r w:rsidRPr="003A42DD">
              <w:rPr>
                <w:rFonts w:ascii="Arial" w:hAnsi="Arial" w:cs="Arial"/>
                <w:color w:val="000000"/>
                <w:sz w:val="18"/>
                <w:szCs w:val="18"/>
              </w:rPr>
              <w:t>B</w:t>
            </w:r>
          </w:p>
        </w:tc>
        <w:tc>
          <w:tcPr>
            <w:tcW w:w="1078" w:type="dxa"/>
            <w:tcBorders>
              <w:top w:val="nil"/>
              <w:bottom w:val="nil"/>
            </w:tcBorders>
            <w:shd w:val="clear" w:color="auto" w:fill="D9D9D9" w:themeFill="background1" w:themeFillShade="D9"/>
          </w:tcPr>
          <w:p w14:paraId="7D933020" w14:textId="42CAE3C6"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C25B6">
              <w:rPr>
                <w:rFonts w:ascii="Arial" w:hAnsi="Arial" w:cs="Arial"/>
                <w:color w:val="000000"/>
                <w:sz w:val="18"/>
                <w:szCs w:val="18"/>
              </w:rPr>
              <w:t>+</w:t>
            </w:r>
            <w:r w:rsidR="00E213E7">
              <w:rPr>
                <w:rFonts w:ascii="Arial" w:hAnsi="Arial" w:cs="Arial"/>
                <w:color w:val="000000"/>
                <w:sz w:val="18"/>
                <w:szCs w:val="18"/>
              </w:rPr>
              <w:t>4.6</w:t>
            </w:r>
            <w:r w:rsidRPr="00AC25B6">
              <w:rPr>
                <w:rFonts w:ascii="Arial" w:hAnsi="Arial" w:cs="Arial"/>
                <w:color w:val="000000"/>
                <w:sz w:val="18"/>
                <w:szCs w:val="18"/>
              </w:rPr>
              <w:t>%</w:t>
            </w:r>
          </w:p>
        </w:tc>
        <w:tc>
          <w:tcPr>
            <w:tcW w:w="1355" w:type="dxa"/>
            <w:tcBorders>
              <w:top w:val="nil"/>
              <w:bottom w:val="nil"/>
            </w:tcBorders>
            <w:shd w:val="clear" w:color="auto" w:fill="D9D9D9" w:themeFill="background1" w:themeFillShade="D9"/>
          </w:tcPr>
          <w:p w14:paraId="12AA3FF4" w14:textId="566ACAB6" w:rsidR="00EC1479" w:rsidRPr="006A3676"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C25B6">
              <w:rPr>
                <w:rFonts w:ascii="Arial" w:hAnsi="Arial" w:cs="Arial"/>
                <w:color w:val="000000"/>
                <w:sz w:val="18"/>
                <w:szCs w:val="18"/>
              </w:rPr>
              <w:t>+</w:t>
            </w:r>
            <w:r w:rsidR="00E213E7">
              <w:rPr>
                <w:rFonts w:ascii="Arial" w:hAnsi="Arial" w:cs="Arial"/>
                <w:color w:val="000000"/>
                <w:sz w:val="18"/>
                <w:szCs w:val="18"/>
              </w:rPr>
              <w:t>2.2</w:t>
            </w:r>
            <w:r w:rsidRPr="00AC25B6">
              <w:rPr>
                <w:rFonts w:ascii="Arial" w:hAnsi="Arial" w:cs="Arial"/>
                <w:color w:val="000000"/>
                <w:sz w:val="18"/>
                <w:szCs w:val="18"/>
              </w:rPr>
              <w:t>%</w:t>
            </w:r>
          </w:p>
        </w:tc>
      </w:tr>
      <w:tr w:rsidR="00E213E7" w:rsidRPr="00525982" w14:paraId="60DFC914" w14:textId="77777777" w:rsidTr="005B0011">
        <w:trPr>
          <w:trHeight w:val="60"/>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23FB8A0F" w14:textId="424A20F4" w:rsidR="00E213E7" w:rsidRPr="00C3053B" w:rsidRDefault="00E213E7" w:rsidP="00E213E7">
            <w:pPr>
              <w:pStyle w:val="NoSpacing"/>
              <w:rPr>
                <w:rFonts w:ascii="Arial" w:hAnsi="Arial" w:cs="Arial"/>
                <w:b w:val="0"/>
                <w:bCs w:val="0"/>
                <w:color w:val="000000" w:themeColor="text1"/>
                <w:sz w:val="18"/>
                <w:szCs w:val="18"/>
              </w:rPr>
            </w:pPr>
            <w:r w:rsidRPr="006A3676">
              <w:rPr>
                <w:rFonts w:ascii="Arial" w:hAnsi="Arial" w:cs="Arial"/>
                <w:b w:val="0"/>
                <w:bCs w:val="0"/>
                <w:color w:val="000000" w:themeColor="text1"/>
                <w:sz w:val="18"/>
                <w:szCs w:val="18"/>
              </w:rPr>
              <w:t>Processed chicken</w:t>
            </w:r>
          </w:p>
        </w:tc>
        <w:tc>
          <w:tcPr>
            <w:tcW w:w="995" w:type="dxa"/>
            <w:tcBorders>
              <w:top w:val="nil"/>
              <w:bottom w:val="nil"/>
            </w:tcBorders>
          </w:tcPr>
          <w:p w14:paraId="03EC15AE" w14:textId="12E3D905" w:rsidR="00E213E7" w:rsidRPr="000D0537" w:rsidRDefault="00E213E7" w:rsidP="00E213E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920E97">
              <w:rPr>
                <w:rFonts w:ascii="Arial" w:hAnsi="Arial" w:cs="Arial"/>
                <w:color w:val="auto"/>
                <w:sz w:val="18"/>
                <w:szCs w:val="18"/>
              </w:rPr>
              <w:t>$</w:t>
            </w:r>
            <w:r>
              <w:rPr>
                <w:rFonts w:ascii="Arial" w:hAnsi="Arial" w:cs="Arial"/>
                <w:color w:val="auto"/>
                <w:sz w:val="18"/>
                <w:szCs w:val="18"/>
              </w:rPr>
              <w:t>61</w:t>
            </w:r>
            <w:r w:rsidRPr="00920E97">
              <w:rPr>
                <w:rFonts w:ascii="Arial" w:hAnsi="Arial" w:cs="Arial"/>
                <w:color w:val="auto"/>
                <w:sz w:val="18"/>
                <w:szCs w:val="18"/>
              </w:rPr>
              <w:t>M</w:t>
            </w:r>
          </w:p>
        </w:tc>
        <w:tc>
          <w:tcPr>
            <w:tcW w:w="1085" w:type="dxa"/>
            <w:tcBorders>
              <w:top w:val="nil"/>
              <w:bottom w:val="nil"/>
            </w:tcBorders>
          </w:tcPr>
          <w:p w14:paraId="1308587B" w14:textId="0F41AC86" w:rsidR="00E213E7" w:rsidRPr="006A3676" w:rsidRDefault="00E213E7" w:rsidP="00E213E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917D34">
              <w:rPr>
                <w:rFonts w:ascii="Arial" w:hAnsi="Arial" w:cs="Arial"/>
                <w:color w:val="000000"/>
                <w:sz w:val="18"/>
                <w:szCs w:val="18"/>
              </w:rPr>
              <w:t>+</w:t>
            </w:r>
            <w:r>
              <w:rPr>
                <w:rFonts w:ascii="Arial" w:hAnsi="Arial" w:cs="Arial"/>
                <w:color w:val="000000"/>
                <w:sz w:val="18"/>
                <w:szCs w:val="18"/>
              </w:rPr>
              <w:t>4.5</w:t>
            </w:r>
            <w:r w:rsidRPr="00917D34">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tcPr>
          <w:p w14:paraId="423716DD" w14:textId="3E10CEC0" w:rsidR="00E213E7" w:rsidRPr="006A3676" w:rsidRDefault="00E213E7" w:rsidP="00E213E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917D34">
              <w:rPr>
                <w:rFonts w:ascii="Arial" w:hAnsi="Arial" w:cs="Arial"/>
                <w:color w:val="000000"/>
                <w:sz w:val="18"/>
                <w:szCs w:val="18"/>
              </w:rPr>
              <w:t>+</w:t>
            </w:r>
            <w:r>
              <w:rPr>
                <w:rFonts w:ascii="Arial" w:hAnsi="Arial" w:cs="Arial"/>
                <w:color w:val="000000"/>
                <w:sz w:val="18"/>
                <w:szCs w:val="18"/>
              </w:rPr>
              <w:t>1.3</w:t>
            </w:r>
            <w:r w:rsidRPr="00917D34">
              <w:rPr>
                <w:rFonts w:ascii="Arial" w:hAnsi="Arial" w:cs="Arial"/>
                <w:color w:val="000000"/>
                <w:sz w:val="18"/>
                <w:szCs w:val="18"/>
              </w:rPr>
              <w:t>%</w:t>
            </w:r>
          </w:p>
        </w:tc>
        <w:tc>
          <w:tcPr>
            <w:tcW w:w="1906" w:type="dxa"/>
            <w:tcBorders>
              <w:top w:val="nil"/>
              <w:left w:val="single" w:sz="4" w:space="0" w:color="31849B" w:themeColor="accent5" w:themeShade="BF"/>
              <w:bottom w:val="nil"/>
            </w:tcBorders>
            <w:vAlign w:val="center"/>
          </w:tcPr>
          <w:p w14:paraId="5674EE41" w14:textId="77777777" w:rsidR="00E213E7" w:rsidRPr="006A3676" w:rsidRDefault="00E213E7" w:rsidP="00E213E7">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6A3676">
              <w:rPr>
                <w:rFonts w:ascii="Arial" w:hAnsi="Arial" w:cs="Arial"/>
                <w:bCs/>
                <w:color w:val="000000" w:themeColor="text1"/>
                <w:sz w:val="18"/>
                <w:szCs w:val="18"/>
              </w:rPr>
              <w:t>Smoked ham</w:t>
            </w:r>
          </w:p>
        </w:tc>
        <w:tc>
          <w:tcPr>
            <w:tcW w:w="990" w:type="dxa"/>
            <w:gridSpan w:val="2"/>
            <w:tcBorders>
              <w:top w:val="nil"/>
              <w:bottom w:val="nil"/>
            </w:tcBorders>
          </w:tcPr>
          <w:p w14:paraId="5EE528E0" w14:textId="7D4DAB47" w:rsidR="00E213E7" w:rsidRPr="006A3676" w:rsidRDefault="00E213E7" w:rsidP="00E213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A42DD">
              <w:rPr>
                <w:rFonts w:ascii="Arial" w:hAnsi="Arial" w:cs="Arial"/>
                <w:color w:val="000000"/>
                <w:sz w:val="18"/>
                <w:szCs w:val="18"/>
              </w:rPr>
              <w:t>$</w:t>
            </w:r>
            <w:r>
              <w:rPr>
                <w:rFonts w:ascii="Arial" w:hAnsi="Arial" w:cs="Arial"/>
                <w:color w:val="000000"/>
                <w:sz w:val="18"/>
                <w:szCs w:val="18"/>
              </w:rPr>
              <w:t>1.9</w:t>
            </w:r>
            <w:r w:rsidRPr="003A42DD">
              <w:rPr>
                <w:rFonts w:ascii="Arial" w:hAnsi="Arial" w:cs="Arial"/>
                <w:color w:val="000000"/>
                <w:sz w:val="18"/>
                <w:szCs w:val="18"/>
              </w:rPr>
              <w:t>B</w:t>
            </w:r>
          </w:p>
        </w:tc>
        <w:tc>
          <w:tcPr>
            <w:tcW w:w="1078" w:type="dxa"/>
            <w:tcBorders>
              <w:top w:val="nil"/>
              <w:bottom w:val="nil"/>
            </w:tcBorders>
          </w:tcPr>
          <w:p w14:paraId="185DFD7B" w14:textId="1482C605" w:rsidR="00E213E7" w:rsidRPr="006A3676" w:rsidRDefault="00E213E7" w:rsidP="00E213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C25B6">
              <w:rPr>
                <w:rFonts w:ascii="Arial" w:hAnsi="Arial" w:cs="Arial"/>
                <w:color w:val="000000"/>
                <w:sz w:val="18"/>
                <w:szCs w:val="18"/>
              </w:rPr>
              <w:t>+</w:t>
            </w:r>
            <w:r>
              <w:rPr>
                <w:rFonts w:ascii="Arial" w:hAnsi="Arial" w:cs="Arial"/>
                <w:color w:val="000000"/>
                <w:sz w:val="18"/>
                <w:szCs w:val="18"/>
              </w:rPr>
              <w:t>0.4</w:t>
            </w:r>
            <w:r w:rsidRPr="00AC25B6">
              <w:rPr>
                <w:rFonts w:ascii="Arial" w:hAnsi="Arial" w:cs="Arial"/>
                <w:color w:val="000000"/>
                <w:sz w:val="18"/>
                <w:szCs w:val="18"/>
              </w:rPr>
              <w:t>%</w:t>
            </w:r>
          </w:p>
        </w:tc>
        <w:tc>
          <w:tcPr>
            <w:tcW w:w="1355" w:type="dxa"/>
            <w:tcBorders>
              <w:top w:val="nil"/>
              <w:bottom w:val="nil"/>
            </w:tcBorders>
          </w:tcPr>
          <w:p w14:paraId="68D224EF" w14:textId="7C40AB01" w:rsidR="00E213E7" w:rsidRPr="006A3676" w:rsidRDefault="00E213E7" w:rsidP="00E213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-0.9</w:t>
            </w:r>
            <w:r w:rsidRPr="00AC25B6">
              <w:rPr>
                <w:rFonts w:ascii="Arial" w:hAnsi="Arial" w:cs="Arial"/>
                <w:color w:val="000000"/>
                <w:sz w:val="18"/>
                <w:szCs w:val="18"/>
              </w:rPr>
              <w:t>%</w:t>
            </w:r>
          </w:p>
        </w:tc>
      </w:tr>
      <w:tr w:rsidR="00E213E7" w:rsidRPr="00525982" w14:paraId="568DCC99"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0431DF75" w14:textId="1A95B9AB" w:rsidR="00E213E7" w:rsidRPr="00E213E7" w:rsidRDefault="00E213E7" w:rsidP="00E213E7">
            <w:pPr>
              <w:pStyle w:val="NoSpacing"/>
              <w:rPr>
                <w:rFonts w:ascii="Arial" w:hAnsi="Arial" w:cs="Arial"/>
                <w:b w:val="0"/>
                <w:color w:val="000000" w:themeColor="text1"/>
                <w:sz w:val="18"/>
                <w:szCs w:val="18"/>
              </w:rPr>
            </w:pPr>
            <w:r w:rsidRPr="00E213E7">
              <w:rPr>
                <w:rFonts w:ascii="Arial" w:hAnsi="Arial" w:cs="Arial"/>
                <w:b w:val="0"/>
                <w:color w:val="000000" w:themeColor="text1"/>
                <w:sz w:val="18"/>
                <w:szCs w:val="18"/>
              </w:rPr>
              <w:t>Smoked ham</w:t>
            </w:r>
          </w:p>
        </w:tc>
        <w:tc>
          <w:tcPr>
            <w:tcW w:w="995" w:type="dxa"/>
            <w:tcBorders>
              <w:top w:val="nil"/>
              <w:bottom w:val="nil"/>
            </w:tcBorders>
            <w:shd w:val="clear" w:color="auto" w:fill="D9D9D9" w:themeFill="background1" w:themeFillShade="D9"/>
          </w:tcPr>
          <w:p w14:paraId="08564128" w14:textId="623D924A" w:rsidR="00E213E7" w:rsidRPr="000D0537" w:rsidRDefault="00E213E7" w:rsidP="00E213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920E97">
              <w:rPr>
                <w:rFonts w:ascii="Arial" w:hAnsi="Arial" w:cs="Arial"/>
                <w:color w:val="auto"/>
                <w:sz w:val="18"/>
                <w:szCs w:val="18"/>
              </w:rPr>
              <w:t>$</w:t>
            </w:r>
            <w:r>
              <w:rPr>
                <w:rFonts w:ascii="Arial" w:hAnsi="Arial" w:cs="Arial"/>
                <w:color w:val="auto"/>
                <w:sz w:val="18"/>
                <w:szCs w:val="18"/>
              </w:rPr>
              <w:t>60</w:t>
            </w:r>
            <w:r w:rsidRPr="00920E97">
              <w:rPr>
                <w:rFonts w:ascii="Arial" w:hAnsi="Arial" w:cs="Arial"/>
                <w:color w:val="auto"/>
                <w:sz w:val="18"/>
                <w:szCs w:val="18"/>
              </w:rPr>
              <w:t>M</w:t>
            </w:r>
          </w:p>
        </w:tc>
        <w:tc>
          <w:tcPr>
            <w:tcW w:w="1085" w:type="dxa"/>
            <w:tcBorders>
              <w:top w:val="nil"/>
              <w:bottom w:val="nil"/>
            </w:tcBorders>
            <w:shd w:val="clear" w:color="auto" w:fill="D9D9D9" w:themeFill="background1" w:themeFillShade="D9"/>
          </w:tcPr>
          <w:p w14:paraId="700E511A" w14:textId="613BBF6A" w:rsidR="00E213E7" w:rsidRPr="006A3676" w:rsidRDefault="00E213E7" w:rsidP="00E213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-6.3</w:t>
            </w:r>
            <w:r w:rsidRPr="00917D34">
              <w:rPr>
                <w:rFonts w:ascii="Arial" w:hAnsi="Arial" w:cs="Arial"/>
                <w:color w:val="000000"/>
                <w:sz w:val="18"/>
                <w:szCs w:val="18"/>
              </w:rPr>
              <w:t>%</w:t>
            </w:r>
          </w:p>
        </w:tc>
        <w:tc>
          <w:tcPr>
            <w:tcW w:w="1147" w:type="dxa"/>
            <w:gridSpan w:val="2"/>
            <w:tcBorders>
              <w:top w:val="nil"/>
              <w:bottom w:val="nil"/>
              <w:right w:val="single" w:sz="4" w:space="0" w:color="31849B" w:themeColor="accent5" w:themeShade="BF"/>
            </w:tcBorders>
            <w:shd w:val="clear" w:color="auto" w:fill="D9D9D9" w:themeFill="background1" w:themeFillShade="D9"/>
          </w:tcPr>
          <w:p w14:paraId="704A4DC6" w14:textId="4846CFAA" w:rsidR="00E213E7" w:rsidRPr="006A3676" w:rsidRDefault="00E213E7" w:rsidP="00E213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-8.4</w:t>
            </w:r>
            <w:r w:rsidRPr="00917D34">
              <w:rPr>
                <w:rFonts w:ascii="Arial" w:hAnsi="Arial" w:cs="Arial"/>
                <w:color w:val="000000"/>
                <w:sz w:val="18"/>
                <w:szCs w:val="18"/>
              </w:rPr>
              <w:t>%</w:t>
            </w:r>
          </w:p>
        </w:tc>
        <w:tc>
          <w:tcPr>
            <w:tcW w:w="1906" w:type="dxa"/>
            <w:tcBorders>
              <w:top w:val="nil"/>
              <w:left w:val="single" w:sz="4" w:space="0" w:color="31849B" w:themeColor="accent5" w:themeShade="BF"/>
              <w:bottom w:val="nil"/>
            </w:tcBorders>
            <w:shd w:val="clear" w:color="auto" w:fill="D9D9D9" w:themeFill="background1" w:themeFillShade="D9"/>
            <w:vAlign w:val="center"/>
          </w:tcPr>
          <w:p w14:paraId="6D96A488" w14:textId="77777777" w:rsidR="00E213E7" w:rsidRPr="006A3676" w:rsidRDefault="00E213E7" w:rsidP="00E213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6A3676">
              <w:rPr>
                <w:rFonts w:ascii="Arial" w:hAnsi="Arial" w:cs="Arial"/>
                <w:color w:val="000000" w:themeColor="text1"/>
                <w:sz w:val="18"/>
                <w:szCs w:val="18"/>
              </w:rPr>
              <w:t>Processed chicken</w:t>
            </w:r>
          </w:p>
        </w:tc>
        <w:tc>
          <w:tcPr>
            <w:tcW w:w="990" w:type="dxa"/>
            <w:gridSpan w:val="2"/>
            <w:tcBorders>
              <w:top w:val="nil"/>
              <w:bottom w:val="nil"/>
            </w:tcBorders>
            <w:shd w:val="clear" w:color="auto" w:fill="D9D9D9" w:themeFill="background1" w:themeFillShade="D9"/>
            <w:vAlign w:val="center"/>
          </w:tcPr>
          <w:p w14:paraId="4732DC22" w14:textId="2A3CC555" w:rsidR="00E213E7" w:rsidRPr="006A3676" w:rsidRDefault="00E213E7" w:rsidP="00E213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$785M</w:t>
            </w:r>
          </w:p>
        </w:tc>
        <w:tc>
          <w:tcPr>
            <w:tcW w:w="1078" w:type="dxa"/>
            <w:tcBorders>
              <w:top w:val="nil"/>
              <w:bottom w:val="nil"/>
            </w:tcBorders>
            <w:shd w:val="clear" w:color="auto" w:fill="D9D9D9" w:themeFill="background1" w:themeFillShade="D9"/>
          </w:tcPr>
          <w:p w14:paraId="0533DF65" w14:textId="58239223" w:rsidR="00E213E7" w:rsidRPr="006A3676" w:rsidRDefault="00E213E7" w:rsidP="00E213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C25B6">
              <w:rPr>
                <w:rFonts w:ascii="Arial" w:hAnsi="Arial" w:cs="Arial"/>
                <w:color w:val="000000"/>
                <w:sz w:val="18"/>
                <w:szCs w:val="18"/>
              </w:rPr>
              <w:t>+</w:t>
            </w:r>
            <w:r>
              <w:rPr>
                <w:rFonts w:ascii="Arial" w:hAnsi="Arial" w:cs="Arial"/>
                <w:color w:val="000000"/>
                <w:sz w:val="18"/>
                <w:szCs w:val="18"/>
              </w:rPr>
              <w:t>7.0</w:t>
            </w:r>
            <w:r w:rsidRPr="00AC25B6">
              <w:rPr>
                <w:rFonts w:ascii="Arial" w:hAnsi="Arial" w:cs="Arial"/>
                <w:color w:val="000000"/>
                <w:sz w:val="18"/>
                <w:szCs w:val="18"/>
              </w:rPr>
              <w:t>%</w:t>
            </w:r>
          </w:p>
        </w:tc>
        <w:tc>
          <w:tcPr>
            <w:tcW w:w="1355" w:type="dxa"/>
            <w:tcBorders>
              <w:top w:val="nil"/>
              <w:bottom w:val="nil"/>
            </w:tcBorders>
            <w:shd w:val="clear" w:color="auto" w:fill="D9D9D9" w:themeFill="background1" w:themeFillShade="D9"/>
          </w:tcPr>
          <w:p w14:paraId="320DCD68" w14:textId="3BC84BC8" w:rsidR="00E213E7" w:rsidRPr="006A3676" w:rsidRDefault="00E213E7" w:rsidP="00E213E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C25B6">
              <w:rPr>
                <w:rFonts w:ascii="Arial" w:hAnsi="Arial" w:cs="Arial"/>
                <w:color w:val="000000"/>
                <w:sz w:val="18"/>
                <w:szCs w:val="18"/>
              </w:rPr>
              <w:t>+</w:t>
            </w:r>
            <w:r>
              <w:rPr>
                <w:rFonts w:ascii="Arial" w:hAnsi="Arial" w:cs="Arial"/>
                <w:color w:val="000000"/>
                <w:sz w:val="18"/>
                <w:szCs w:val="18"/>
              </w:rPr>
              <w:t>7.2</w:t>
            </w:r>
            <w:r w:rsidRPr="00AC25B6">
              <w:rPr>
                <w:rFonts w:ascii="Arial" w:hAnsi="Arial" w:cs="Arial"/>
                <w:color w:val="000000"/>
                <w:sz w:val="18"/>
                <w:szCs w:val="18"/>
              </w:rPr>
              <w:t>%</w:t>
            </w:r>
          </w:p>
        </w:tc>
      </w:tr>
    </w:tbl>
    <w:p w14:paraId="18EEDDCE" w14:textId="77777777" w:rsidR="00FA10C6" w:rsidRPr="0027199D" w:rsidRDefault="00FA10C6" w:rsidP="00FA10C6">
      <w:pPr>
        <w:pStyle w:val="NoSpacing"/>
        <w:rPr>
          <w:rFonts w:ascii="Arial" w:hAnsi="Arial" w:cs="Arial"/>
          <w:sz w:val="8"/>
          <w:szCs w:val="10"/>
        </w:rPr>
      </w:pPr>
    </w:p>
    <w:p w14:paraId="1EBFE19C" w14:textId="77777777" w:rsidR="00FA10C6" w:rsidRPr="00797BB8" w:rsidRDefault="00FA10C6" w:rsidP="00FA10C6">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 xml:space="preserve">Source: </w:t>
      </w:r>
      <w:proofErr w:type="spellStart"/>
      <w:r w:rsidRPr="00797BB8">
        <w:rPr>
          <w:rFonts w:ascii="Arial" w:hAnsi="Arial" w:cs="Arial"/>
          <w:color w:val="7F7F7F" w:themeColor="text1" w:themeTint="80"/>
          <w:sz w:val="16"/>
          <w:szCs w:val="16"/>
        </w:rPr>
        <w:t>Circana</w:t>
      </w:r>
      <w:proofErr w:type="spellEnd"/>
      <w:r w:rsidRPr="00797BB8">
        <w:rPr>
          <w:rFonts w:ascii="Arial" w:hAnsi="Arial" w:cs="Arial"/>
          <w:color w:val="7F7F7F" w:themeColor="text1" w:themeTint="80"/>
          <w:sz w:val="16"/>
          <w:szCs w:val="16"/>
        </w:rPr>
        <w:t xml:space="preserve">, Integrated Fresh, Total US, </w:t>
      </w:r>
      <w:r>
        <w:rPr>
          <w:rFonts w:ascii="Arial" w:hAnsi="Arial" w:cs="Arial"/>
          <w:color w:val="7F7F7F" w:themeColor="text1" w:themeTint="80"/>
          <w:sz w:val="16"/>
          <w:szCs w:val="16"/>
        </w:rPr>
        <w:t>MULO+</w:t>
      </w:r>
    </w:p>
    <w:bookmarkEnd w:id="12"/>
    <w:p w14:paraId="7D0EBCD6" w14:textId="5866CB31" w:rsidR="00F37B96" w:rsidRDefault="00BF1669" w:rsidP="006A3BE6">
      <w:pPr>
        <w:pStyle w:val="NoSpacing"/>
        <w:rPr>
          <w:rFonts w:ascii="Arial" w:eastAsia="Times New Roman" w:hAnsi="Arial" w:cs="Arial"/>
          <w:sz w:val="20"/>
          <w:szCs w:val="20"/>
        </w:rPr>
      </w:pPr>
      <w:r w:rsidRPr="00740C65">
        <w:rPr>
          <w:rFonts w:ascii="Arial" w:hAnsi="Arial" w:cs="Arial"/>
          <w:b/>
          <w:color w:val="595959" w:themeColor="text1" w:themeTint="A6"/>
          <w:sz w:val="24"/>
          <w:szCs w:val="24"/>
        </w:rPr>
        <w:lastRenderedPageBreak/>
        <w:t>Grinds</w:t>
      </w:r>
      <w:r w:rsidR="00DC3D3A">
        <w:rPr>
          <w:rFonts w:ascii="Arial" w:hAnsi="Arial" w:cs="Arial"/>
          <w:b/>
          <w:color w:val="595959" w:themeColor="text1" w:themeTint="A6"/>
          <w:sz w:val="24"/>
          <w:szCs w:val="24"/>
        </w:rPr>
        <w:t xml:space="preserve"> </w:t>
      </w:r>
      <w:r w:rsidR="003A7881">
        <w:rPr>
          <w:rFonts w:ascii="Arial" w:hAnsi="Arial" w:cs="Arial"/>
          <w:b/>
          <w:color w:val="595959" w:themeColor="text1" w:themeTint="A6"/>
          <w:sz w:val="24"/>
          <w:szCs w:val="24"/>
        </w:rPr>
        <w:br/>
      </w:r>
      <w:r w:rsidR="00F37B96">
        <w:rPr>
          <w:rFonts w:ascii="Arial" w:eastAsia="Times New Roman" w:hAnsi="Arial" w:cs="Arial"/>
          <w:sz w:val="20"/>
          <w:szCs w:val="20"/>
        </w:rPr>
        <w:t>Ground beef generated $</w:t>
      </w:r>
      <w:r w:rsidR="008F6BD1">
        <w:rPr>
          <w:rFonts w:ascii="Arial" w:eastAsia="Times New Roman" w:hAnsi="Arial" w:cs="Arial"/>
          <w:sz w:val="20"/>
          <w:szCs w:val="20"/>
        </w:rPr>
        <w:t>1.4</w:t>
      </w:r>
      <w:r w:rsidR="00EC1479">
        <w:rPr>
          <w:rFonts w:ascii="Arial" w:eastAsia="Times New Roman" w:hAnsi="Arial" w:cs="Arial"/>
          <w:sz w:val="20"/>
          <w:szCs w:val="20"/>
        </w:rPr>
        <w:t xml:space="preserve"> billion out of the total $</w:t>
      </w:r>
      <w:r w:rsidR="00F37B96">
        <w:rPr>
          <w:rFonts w:ascii="Arial" w:eastAsia="Times New Roman" w:hAnsi="Arial" w:cs="Arial"/>
          <w:sz w:val="20"/>
          <w:szCs w:val="20"/>
        </w:rPr>
        <w:t xml:space="preserve"> billion across all beef cuts in </w:t>
      </w:r>
      <w:r w:rsidR="000A2703">
        <w:rPr>
          <w:rFonts w:ascii="Arial" w:eastAsia="Times New Roman" w:hAnsi="Arial" w:cs="Arial"/>
          <w:sz w:val="20"/>
          <w:szCs w:val="20"/>
        </w:rPr>
        <w:t>June</w:t>
      </w:r>
      <w:r w:rsidR="00F37B96">
        <w:rPr>
          <w:rFonts w:ascii="Arial" w:eastAsia="Times New Roman" w:hAnsi="Arial" w:cs="Arial"/>
          <w:sz w:val="20"/>
          <w:szCs w:val="20"/>
        </w:rPr>
        <w:t>. Dollar sales for ground beef rose by double digi</w:t>
      </w:r>
      <w:r w:rsidR="00EC1479">
        <w:rPr>
          <w:rFonts w:ascii="Arial" w:eastAsia="Times New Roman" w:hAnsi="Arial" w:cs="Arial"/>
          <w:sz w:val="20"/>
          <w:szCs w:val="20"/>
        </w:rPr>
        <w:t xml:space="preserve">ts and pound sales increased </w:t>
      </w:r>
      <w:r w:rsidR="008F6BD1">
        <w:rPr>
          <w:rFonts w:ascii="Arial" w:eastAsia="Times New Roman" w:hAnsi="Arial" w:cs="Arial"/>
          <w:sz w:val="20"/>
          <w:szCs w:val="20"/>
        </w:rPr>
        <w:t>4.6</w:t>
      </w:r>
      <w:r w:rsidR="00F37B96">
        <w:rPr>
          <w:rFonts w:ascii="Arial" w:eastAsia="Times New Roman" w:hAnsi="Arial" w:cs="Arial"/>
          <w:sz w:val="20"/>
          <w:szCs w:val="20"/>
        </w:rPr>
        <w:t xml:space="preserve">%. </w:t>
      </w:r>
      <w:r w:rsidR="00FC591F">
        <w:rPr>
          <w:rFonts w:ascii="Arial" w:eastAsia="Times New Roman" w:hAnsi="Arial" w:cs="Arial"/>
          <w:sz w:val="20"/>
          <w:szCs w:val="20"/>
        </w:rPr>
        <w:t>Turkey was the only ground meat that did not have a good June.</w:t>
      </w:r>
      <w:r w:rsidR="00F37B96">
        <w:rPr>
          <w:rFonts w:ascii="Arial" w:eastAsia="Times New Roman" w:hAnsi="Arial" w:cs="Arial"/>
          <w:sz w:val="20"/>
          <w:szCs w:val="20"/>
        </w:rPr>
        <w:t xml:space="preserve"> </w:t>
      </w:r>
    </w:p>
    <w:p w14:paraId="50C06894" w14:textId="77777777" w:rsidR="00525982" w:rsidRDefault="00525982" w:rsidP="006A3BE6">
      <w:pPr>
        <w:pStyle w:val="NoSpacing"/>
        <w:rPr>
          <w:rFonts w:ascii="Arial" w:eastAsia="Times New Roman"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90"/>
        <w:gridCol w:w="1277"/>
        <w:gridCol w:w="1333"/>
      </w:tblGrid>
      <w:tr w:rsidR="000134EB" w:rsidRPr="0003007F" w14:paraId="668C754B" w14:textId="77777777" w:rsidTr="00EE41DD">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7EF819CB" w14:textId="77777777" w:rsidR="000134EB" w:rsidRPr="00AB1306" w:rsidRDefault="000134EB" w:rsidP="000134EB">
            <w:pPr>
              <w:pStyle w:val="NoSpacing"/>
              <w:rPr>
                <w:rFonts w:ascii="Arial" w:hAnsi="Arial" w:cs="Arial"/>
                <w:color w:val="FFFFFF" w:themeColor="background1"/>
                <w:sz w:val="18"/>
                <w:szCs w:val="18"/>
              </w:rPr>
            </w:pPr>
            <w:bookmarkStart w:id="13" w:name="_Hlk137219473"/>
          </w:p>
        </w:tc>
        <w:tc>
          <w:tcPr>
            <w:tcW w:w="3420" w:type="dxa"/>
            <w:gridSpan w:val="5"/>
            <w:tcBorders>
              <w:top w:val="nil"/>
              <w:bottom w:val="nil"/>
            </w:tcBorders>
            <w:shd w:val="clear" w:color="auto" w:fill="17365D" w:themeFill="text2" w:themeFillShade="BF"/>
          </w:tcPr>
          <w:p w14:paraId="0F0287FF" w14:textId="1C30011D" w:rsidR="000134EB" w:rsidRPr="00AB1306" w:rsidRDefault="000A2703" w:rsidP="00EE41D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June</w:t>
            </w:r>
            <w:r w:rsidR="00FA10C6">
              <w:rPr>
                <w:rFonts w:ascii="Arial" w:hAnsi="Arial" w:cs="Arial"/>
                <w:color w:val="FFFFFF" w:themeColor="background1"/>
                <w:sz w:val="18"/>
                <w:szCs w:val="18"/>
              </w:rPr>
              <w:t xml:space="preserve"> </w:t>
            </w:r>
            <w:r w:rsidR="00EE41DD">
              <w:rPr>
                <w:rFonts w:ascii="Arial" w:hAnsi="Arial" w:cs="Arial"/>
                <w:color w:val="FFFFFF" w:themeColor="background1"/>
                <w:sz w:val="18"/>
                <w:szCs w:val="18"/>
              </w:rPr>
              <w:t>2025</w:t>
            </w:r>
          </w:p>
        </w:tc>
        <w:tc>
          <w:tcPr>
            <w:tcW w:w="1710" w:type="dxa"/>
            <w:tcBorders>
              <w:top w:val="nil"/>
              <w:bottom w:val="nil"/>
            </w:tcBorders>
            <w:shd w:val="clear" w:color="auto" w:fill="17365D" w:themeFill="text2" w:themeFillShade="BF"/>
          </w:tcPr>
          <w:p w14:paraId="6F27EFDD" w14:textId="2ED31C89" w:rsidR="000134EB" w:rsidRPr="00F515F4"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17365D" w:themeFill="text2" w:themeFillShade="BF"/>
          </w:tcPr>
          <w:p w14:paraId="6A29F442" w14:textId="22D54D65" w:rsidR="000134EB" w:rsidRPr="0003007F" w:rsidRDefault="000134EB" w:rsidP="00EE41D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525982" w:rsidRPr="002A3B9B" w14:paraId="0DFB453A" w14:textId="77777777" w:rsidTr="00DD45E6">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57CBEF9"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vAlign w:val="center"/>
          </w:tcPr>
          <w:p w14:paraId="0DB7328C" w14:textId="77777777" w:rsidR="00525982" w:rsidRPr="002A3B9B" w:rsidRDefault="00525982"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2"/>
            <w:tcBorders>
              <w:top w:val="nil"/>
              <w:bottom w:val="nil"/>
            </w:tcBorders>
            <w:shd w:val="clear" w:color="auto" w:fill="17365D" w:themeFill="text2" w:themeFillShade="BF"/>
            <w:vAlign w:val="center"/>
          </w:tcPr>
          <w:p w14:paraId="481AE167" w14:textId="77777777" w:rsidR="00525982" w:rsidRPr="002A3B9B" w:rsidRDefault="00525982"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vAlign w:val="center"/>
          </w:tcPr>
          <w:p w14:paraId="4A45FD44"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gridSpan w:val="2"/>
            <w:tcBorders>
              <w:top w:val="nil"/>
              <w:bottom w:val="nil"/>
            </w:tcBorders>
            <w:shd w:val="clear" w:color="auto" w:fill="17365D" w:themeFill="text2" w:themeFillShade="BF"/>
            <w:vAlign w:val="center"/>
          </w:tcPr>
          <w:p w14:paraId="7A11F32A" w14:textId="77777777" w:rsidR="00525982" w:rsidRPr="002A3B9B" w:rsidRDefault="00525982" w:rsidP="00DD45E6">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tcBorders>
              <w:top w:val="nil"/>
              <w:bottom w:val="nil"/>
            </w:tcBorders>
            <w:shd w:val="clear" w:color="auto" w:fill="17365D" w:themeFill="text2" w:themeFillShade="BF"/>
            <w:vAlign w:val="center"/>
          </w:tcPr>
          <w:p w14:paraId="1DAA8DD1"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277" w:type="dxa"/>
            <w:tcBorders>
              <w:top w:val="nil"/>
              <w:bottom w:val="nil"/>
            </w:tcBorders>
            <w:shd w:val="clear" w:color="auto" w:fill="17365D" w:themeFill="text2" w:themeFillShade="BF"/>
            <w:vAlign w:val="center"/>
          </w:tcPr>
          <w:p w14:paraId="330F52A2"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vAlign w:val="center"/>
          </w:tcPr>
          <w:p w14:paraId="6DE1E42B"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EC1479" w:rsidRPr="00E363CB" w14:paraId="7C3DB727" w14:textId="77777777" w:rsidTr="005B0011">
        <w:trPr>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7B9B826E" w14:textId="0EA063BF" w:rsidR="00EC1479" w:rsidRPr="000D0537" w:rsidRDefault="00EC1479" w:rsidP="00EC1479">
            <w:pPr>
              <w:pStyle w:val="NoSpacing"/>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beef</w:t>
            </w:r>
          </w:p>
        </w:tc>
        <w:tc>
          <w:tcPr>
            <w:tcW w:w="990" w:type="dxa"/>
            <w:gridSpan w:val="2"/>
            <w:tcBorders>
              <w:top w:val="nil"/>
              <w:left w:val="nil"/>
              <w:bottom w:val="nil"/>
              <w:right w:val="nil"/>
            </w:tcBorders>
            <w:vAlign w:val="center"/>
          </w:tcPr>
          <w:p w14:paraId="17E7B74A" w14:textId="08C397C2" w:rsidR="00EC1479" w:rsidRPr="000D0537" w:rsidRDefault="00E145E6"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$1.4</w:t>
            </w:r>
            <w:r w:rsidR="00EC1479" w:rsidRPr="000D0537">
              <w:rPr>
                <w:rFonts w:ascii="Arial" w:hAnsi="Arial" w:cs="Arial"/>
                <w:color w:val="000000"/>
                <w:sz w:val="18"/>
                <w:szCs w:val="18"/>
              </w:rPr>
              <w:t>B</w:t>
            </w:r>
          </w:p>
        </w:tc>
        <w:tc>
          <w:tcPr>
            <w:tcW w:w="1075" w:type="dxa"/>
            <w:tcBorders>
              <w:top w:val="nil"/>
              <w:left w:val="nil"/>
              <w:bottom w:val="nil"/>
              <w:right w:val="nil"/>
            </w:tcBorders>
          </w:tcPr>
          <w:p w14:paraId="2F6F5924" w14:textId="6CC9BF5E"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36157">
              <w:rPr>
                <w:rFonts w:ascii="Arial" w:hAnsi="Arial" w:cs="Arial"/>
                <w:color w:val="000000" w:themeColor="text1"/>
                <w:sz w:val="18"/>
                <w:szCs w:val="18"/>
              </w:rPr>
              <w:t>+</w:t>
            </w:r>
            <w:r w:rsidR="00E145E6">
              <w:rPr>
                <w:rFonts w:ascii="Arial" w:hAnsi="Arial" w:cs="Arial"/>
                <w:color w:val="000000" w:themeColor="text1"/>
                <w:sz w:val="18"/>
                <w:szCs w:val="18"/>
              </w:rPr>
              <w:t>13.0</w:t>
            </w:r>
            <w:r w:rsidRPr="00536157">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tcPr>
          <w:p w14:paraId="5DBB89F3" w14:textId="7F6F8749"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D42D1">
              <w:rPr>
                <w:rFonts w:ascii="Arial" w:hAnsi="Arial" w:cs="Arial"/>
                <w:color w:val="000000"/>
                <w:sz w:val="18"/>
                <w:szCs w:val="18"/>
              </w:rPr>
              <w:t>+</w:t>
            </w:r>
            <w:r w:rsidR="00E145E6">
              <w:rPr>
                <w:rFonts w:ascii="Arial" w:hAnsi="Arial" w:cs="Arial"/>
                <w:color w:val="000000"/>
                <w:sz w:val="18"/>
                <w:szCs w:val="18"/>
              </w:rPr>
              <w:t>4.6</w:t>
            </w:r>
            <w:r w:rsidRPr="00DD42D1">
              <w:rPr>
                <w:rFonts w:ascii="Arial" w:hAnsi="Arial" w:cs="Arial"/>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7EA8213D" w14:textId="01F943D4" w:rsidR="00EC1479" w:rsidRPr="000D0537"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D0537">
              <w:rPr>
                <w:rFonts w:ascii="Arial" w:hAnsi="Arial" w:cs="Arial"/>
                <w:color w:val="000000" w:themeColor="text1"/>
                <w:sz w:val="18"/>
                <w:szCs w:val="18"/>
              </w:rPr>
              <w:t>Ground beef</w:t>
            </w:r>
          </w:p>
        </w:tc>
        <w:tc>
          <w:tcPr>
            <w:tcW w:w="990" w:type="dxa"/>
            <w:tcBorders>
              <w:top w:val="nil"/>
              <w:left w:val="nil"/>
              <w:bottom w:val="nil"/>
              <w:right w:val="nil"/>
            </w:tcBorders>
            <w:vAlign w:val="center"/>
          </w:tcPr>
          <w:p w14:paraId="13102BEE" w14:textId="75A0EC09"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E145E6">
              <w:rPr>
                <w:rFonts w:ascii="Arial" w:hAnsi="Arial" w:cs="Arial"/>
                <w:color w:val="000000"/>
                <w:sz w:val="18"/>
                <w:szCs w:val="18"/>
              </w:rPr>
              <w:t>16.4</w:t>
            </w:r>
            <w:r w:rsidRPr="000D0537">
              <w:rPr>
                <w:rFonts w:ascii="Arial" w:hAnsi="Arial" w:cs="Arial"/>
                <w:color w:val="000000"/>
                <w:sz w:val="18"/>
                <w:szCs w:val="18"/>
              </w:rPr>
              <w:t>B</w:t>
            </w:r>
          </w:p>
        </w:tc>
        <w:tc>
          <w:tcPr>
            <w:tcW w:w="1277" w:type="dxa"/>
            <w:tcBorders>
              <w:top w:val="nil"/>
              <w:left w:val="nil"/>
              <w:bottom w:val="nil"/>
              <w:right w:val="nil"/>
            </w:tcBorders>
          </w:tcPr>
          <w:p w14:paraId="6E720C38" w14:textId="677DD1ED"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E145E6">
              <w:rPr>
                <w:rFonts w:ascii="Arial" w:hAnsi="Arial" w:cs="Arial"/>
                <w:color w:val="000000" w:themeColor="text1"/>
                <w:sz w:val="18"/>
                <w:szCs w:val="18"/>
              </w:rPr>
              <w:t>12.2</w:t>
            </w:r>
            <w:r w:rsidRPr="00446CD4">
              <w:rPr>
                <w:rFonts w:ascii="Arial" w:hAnsi="Arial" w:cs="Arial"/>
                <w:color w:val="000000" w:themeColor="text1"/>
                <w:sz w:val="18"/>
                <w:szCs w:val="18"/>
              </w:rPr>
              <w:t>%</w:t>
            </w:r>
          </w:p>
        </w:tc>
        <w:tc>
          <w:tcPr>
            <w:tcW w:w="1333" w:type="dxa"/>
            <w:tcBorders>
              <w:top w:val="nil"/>
              <w:left w:val="nil"/>
              <w:bottom w:val="nil"/>
            </w:tcBorders>
          </w:tcPr>
          <w:p w14:paraId="284BBA7B" w14:textId="216A9215"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E145E6">
              <w:rPr>
                <w:rFonts w:ascii="Arial" w:hAnsi="Arial" w:cs="Arial"/>
                <w:color w:val="000000" w:themeColor="text1"/>
                <w:sz w:val="18"/>
                <w:szCs w:val="18"/>
              </w:rPr>
              <w:t>5.2</w:t>
            </w:r>
            <w:r w:rsidRPr="00446CD4">
              <w:rPr>
                <w:rFonts w:ascii="Arial" w:hAnsi="Arial" w:cs="Arial"/>
                <w:color w:val="000000" w:themeColor="text1"/>
                <w:sz w:val="18"/>
                <w:szCs w:val="18"/>
              </w:rPr>
              <w:t>%</w:t>
            </w:r>
          </w:p>
        </w:tc>
      </w:tr>
      <w:tr w:rsidR="00EC1479" w:rsidRPr="00FB41A2" w14:paraId="2937B14D" w14:textId="77777777" w:rsidTr="005B001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6A85564" w14:textId="5C2B02EC" w:rsidR="00EC1479" w:rsidRPr="000D0537" w:rsidRDefault="00EC1479" w:rsidP="00EC1479">
            <w:pPr>
              <w:pStyle w:val="NoSpacing"/>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turkey</w:t>
            </w:r>
          </w:p>
        </w:tc>
        <w:tc>
          <w:tcPr>
            <w:tcW w:w="990" w:type="dxa"/>
            <w:gridSpan w:val="2"/>
            <w:tcBorders>
              <w:top w:val="nil"/>
              <w:bottom w:val="nil"/>
            </w:tcBorders>
            <w:shd w:val="clear" w:color="auto" w:fill="D9D9D9" w:themeFill="background1" w:themeFillShade="D9"/>
          </w:tcPr>
          <w:p w14:paraId="62E0D1D7" w14:textId="53130A25"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510964">
              <w:rPr>
                <w:rFonts w:ascii="Arial" w:hAnsi="Arial" w:cs="Arial"/>
                <w:color w:val="auto"/>
                <w:sz w:val="18"/>
                <w:szCs w:val="18"/>
              </w:rPr>
              <w:t>$</w:t>
            </w:r>
            <w:r w:rsidR="00E145E6">
              <w:rPr>
                <w:rFonts w:ascii="Arial" w:hAnsi="Arial" w:cs="Arial"/>
                <w:color w:val="auto"/>
                <w:sz w:val="18"/>
                <w:szCs w:val="18"/>
              </w:rPr>
              <w:t>149</w:t>
            </w:r>
            <w:r w:rsidRPr="00510964">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65DF1040" w14:textId="1D76E2F0"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536157">
              <w:rPr>
                <w:rFonts w:ascii="Arial" w:hAnsi="Arial" w:cs="Arial"/>
                <w:color w:val="000000" w:themeColor="text1"/>
                <w:sz w:val="18"/>
                <w:szCs w:val="18"/>
              </w:rPr>
              <w:t>+</w:t>
            </w:r>
            <w:r w:rsidR="00E145E6">
              <w:rPr>
                <w:rFonts w:ascii="Arial" w:hAnsi="Arial" w:cs="Arial"/>
                <w:color w:val="000000" w:themeColor="text1"/>
                <w:sz w:val="18"/>
                <w:szCs w:val="18"/>
              </w:rPr>
              <w:t>5.3</w:t>
            </w:r>
            <w:r w:rsidRPr="00536157">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397F5DB6" w14:textId="26AFAC3D" w:rsidR="00EC1479" w:rsidRPr="000D0537" w:rsidRDefault="00E145E6"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-2.6</w:t>
            </w:r>
            <w:r w:rsidR="00EC1479" w:rsidRPr="00DD42D1">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663AEF9F" w14:textId="2332D2BC" w:rsidR="00EC1479" w:rsidRPr="000D0537"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turkey</w:t>
            </w:r>
          </w:p>
        </w:tc>
        <w:tc>
          <w:tcPr>
            <w:tcW w:w="990" w:type="dxa"/>
            <w:tcBorders>
              <w:top w:val="nil"/>
              <w:bottom w:val="nil"/>
            </w:tcBorders>
            <w:shd w:val="clear" w:color="auto" w:fill="D9D9D9" w:themeFill="background1" w:themeFillShade="D9"/>
            <w:vAlign w:val="center"/>
          </w:tcPr>
          <w:p w14:paraId="7E07A52A" w14:textId="2FFEE5F5"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E145E6">
              <w:rPr>
                <w:rFonts w:ascii="Arial" w:hAnsi="Arial" w:cs="Arial"/>
                <w:color w:val="000000"/>
                <w:sz w:val="18"/>
                <w:szCs w:val="18"/>
              </w:rPr>
              <w:t>2.0</w:t>
            </w:r>
            <w:r w:rsidRPr="000D0537">
              <w:rPr>
                <w:rFonts w:ascii="Arial" w:hAnsi="Arial" w:cs="Arial"/>
                <w:color w:val="000000"/>
                <w:sz w:val="18"/>
                <w:szCs w:val="18"/>
              </w:rPr>
              <w:t>B</w:t>
            </w:r>
          </w:p>
        </w:tc>
        <w:tc>
          <w:tcPr>
            <w:tcW w:w="1277" w:type="dxa"/>
            <w:tcBorders>
              <w:top w:val="nil"/>
              <w:bottom w:val="nil"/>
            </w:tcBorders>
            <w:shd w:val="clear" w:color="auto" w:fill="D9D9D9" w:themeFill="background1" w:themeFillShade="D9"/>
          </w:tcPr>
          <w:p w14:paraId="06582683" w14:textId="721A0384" w:rsidR="00EC1479" w:rsidRPr="000D0537" w:rsidRDefault="00E145E6"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+4.6</w:t>
            </w:r>
            <w:r w:rsidR="00EC1479" w:rsidRPr="00446CD4">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7ECA1294" w14:textId="3E2BC2A7"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E145E6">
              <w:rPr>
                <w:rFonts w:ascii="Arial" w:hAnsi="Arial" w:cs="Arial"/>
                <w:color w:val="000000" w:themeColor="text1"/>
                <w:sz w:val="18"/>
                <w:szCs w:val="18"/>
              </w:rPr>
              <w:t>4.2</w:t>
            </w:r>
            <w:r w:rsidRPr="00446CD4">
              <w:rPr>
                <w:rFonts w:ascii="Arial" w:hAnsi="Arial" w:cs="Arial"/>
                <w:color w:val="000000" w:themeColor="text1"/>
                <w:sz w:val="18"/>
                <w:szCs w:val="18"/>
              </w:rPr>
              <w:t>%</w:t>
            </w:r>
          </w:p>
        </w:tc>
      </w:tr>
      <w:tr w:rsidR="00EC1479" w:rsidRPr="00525982" w14:paraId="748604F9" w14:textId="77777777" w:rsidTr="005B0011">
        <w:trPr>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6374529F" w14:textId="77777777" w:rsidR="00EC1479" w:rsidRPr="000D0537" w:rsidRDefault="00EC1479" w:rsidP="00EC1479">
            <w:pPr>
              <w:pStyle w:val="NoSpacing"/>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chicken</w:t>
            </w:r>
          </w:p>
        </w:tc>
        <w:tc>
          <w:tcPr>
            <w:tcW w:w="990" w:type="dxa"/>
            <w:gridSpan w:val="2"/>
            <w:tcBorders>
              <w:top w:val="nil"/>
              <w:bottom w:val="nil"/>
            </w:tcBorders>
          </w:tcPr>
          <w:p w14:paraId="0092817F" w14:textId="6A5E23B9"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510964">
              <w:rPr>
                <w:rFonts w:ascii="Arial" w:hAnsi="Arial" w:cs="Arial"/>
                <w:color w:val="auto"/>
                <w:sz w:val="18"/>
                <w:szCs w:val="18"/>
              </w:rPr>
              <w:t>$</w:t>
            </w:r>
            <w:r w:rsidR="00E145E6">
              <w:rPr>
                <w:rFonts w:ascii="Arial" w:hAnsi="Arial" w:cs="Arial"/>
                <w:color w:val="auto"/>
                <w:sz w:val="18"/>
                <w:szCs w:val="18"/>
              </w:rPr>
              <w:t>31</w:t>
            </w:r>
            <w:r w:rsidRPr="00510964">
              <w:rPr>
                <w:rFonts w:ascii="Arial" w:hAnsi="Arial" w:cs="Arial"/>
                <w:color w:val="auto"/>
                <w:sz w:val="18"/>
                <w:szCs w:val="18"/>
              </w:rPr>
              <w:t>M</w:t>
            </w:r>
          </w:p>
        </w:tc>
        <w:tc>
          <w:tcPr>
            <w:tcW w:w="1075" w:type="dxa"/>
            <w:tcBorders>
              <w:top w:val="nil"/>
              <w:bottom w:val="nil"/>
            </w:tcBorders>
          </w:tcPr>
          <w:p w14:paraId="0F7E8F8D" w14:textId="02AE4D14"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536157">
              <w:rPr>
                <w:rFonts w:ascii="Arial" w:hAnsi="Arial" w:cs="Arial"/>
                <w:color w:val="000000" w:themeColor="text1"/>
                <w:sz w:val="18"/>
                <w:szCs w:val="18"/>
              </w:rPr>
              <w:t>+</w:t>
            </w:r>
            <w:r w:rsidR="00E145E6">
              <w:rPr>
                <w:rFonts w:ascii="Arial" w:hAnsi="Arial" w:cs="Arial"/>
                <w:color w:val="000000" w:themeColor="text1"/>
                <w:sz w:val="18"/>
                <w:szCs w:val="18"/>
              </w:rPr>
              <w:t>29.1</w:t>
            </w:r>
            <w:r w:rsidRPr="00536157">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tcPr>
          <w:p w14:paraId="0555C05C" w14:textId="5C19F9E0"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D42D1">
              <w:rPr>
                <w:rFonts w:ascii="Arial" w:hAnsi="Arial" w:cs="Arial"/>
                <w:color w:val="000000"/>
                <w:sz w:val="18"/>
                <w:szCs w:val="18"/>
              </w:rPr>
              <w:t>+</w:t>
            </w:r>
            <w:r w:rsidR="00E145E6">
              <w:rPr>
                <w:rFonts w:ascii="Arial" w:hAnsi="Arial" w:cs="Arial"/>
                <w:color w:val="000000"/>
                <w:sz w:val="18"/>
                <w:szCs w:val="18"/>
              </w:rPr>
              <w:t>30.3</w:t>
            </w:r>
            <w:r w:rsidRPr="00DD42D1">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vAlign w:val="center"/>
          </w:tcPr>
          <w:p w14:paraId="45C147E0" w14:textId="6BAC8EA0" w:rsidR="00EC1479" w:rsidRPr="000D0537"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chicken</w:t>
            </w:r>
          </w:p>
        </w:tc>
        <w:tc>
          <w:tcPr>
            <w:tcW w:w="990" w:type="dxa"/>
            <w:tcBorders>
              <w:top w:val="nil"/>
              <w:bottom w:val="nil"/>
            </w:tcBorders>
          </w:tcPr>
          <w:p w14:paraId="22EF3248" w14:textId="64A01B88"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341A8">
              <w:rPr>
                <w:rFonts w:ascii="Arial" w:hAnsi="Arial" w:cs="Arial"/>
                <w:color w:val="auto"/>
                <w:sz w:val="18"/>
                <w:szCs w:val="18"/>
              </w:rPr>
              <w:t>$</w:t>
            </w:r>
            <w:r w:rsidR="00E145E6">
              <w:rPr>
                <w:rFonts w:ascii="Arial" w:hAnsi="Arial" w:cs="Arial"/>
                <w:color w:val="auto"/>
                <w:sz w:val="18"/>
                <w:szCs w:val="18"/>
              </w:rPr>
              <w:t>365</w:t>
            </w:r>
            <w:r w:rsidRPr="005341A8">
              <w:rPr>
                <w:rFonts w:ascii="Arial" w:hAnsi="Arial" w:cs="Arial"/>
                <w:color w:val="auto"/>
                <w:sz w:val="18"/>
                <w:szCs w:val="18"/>
              </w:rPr>
              <w:t>M</w:t>
            </w:r>
          </w:p>
        </w:tc>
        <w:tc>
          <w:tcPr>
            <w:tcW w:w="1277" w:type="dxa"/>
            <w:tcBorders>
              <w:top w:val="nil"/>
              <w:bottom w:val="nil"/>
            </w:tcBorders>
          </w:tcPr>
          <w:p w14:paraId="4D68C47B" w14:textId="7C81349B"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E145E6">
              <w:rPr>
                <w:rFonts w:ascii="Arial" w:hAnsi="Arial" w:cs="Arial"/>
                <w:color w:val="000000" w:themeColor="text1"/>
                <w:sz w:val="18"/>
                <w:szCs w:val="18"/>
              </w:rPr>
              <w:t>15.5</w:t>
            </w:r>
            <w:r w:rsidRPr="00446CD4">
              <w:rPr>
                <w:rFonts w:ascii="Arial" w:hAnsi="Arial" w:cs="Arial"/>
                <w:color w:val="000000" w:themeColor="text1"/>
                <w:sz w:val="18"/>
                <w:szCs w:val="18"/>
              </w:rPr>
              <w:t>%</w:t>
            </w:r>
          </w:p>
        </w:tc>
        <w:tc>
          <w:tcPr>
            <w:tcW w:w="1333" w:type="dxa"/>
            <w:tcBorders>
              <w:top w:val="nil"/>
              <w:bottom w:val="nil"/>
            </w:tcBorders>
          </w:tcPr>
          <w:p w14:paraId="474671BC" w14:textId="713B6BD8"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E145E6">
              <w:rPr>
                <w:rFonts w:ascii="Arial" w:hAnsi="Arial" w:cs="Arial"/>
                <w:color w:val="000000" w:themeColor="text1"/>
                <w:sz w:val="18"/>
                <w:szCs w:val="18"/>
              </w:rPr>
              <w:t>15.7</w:t>
            </w:r>
            <w:r w:rsidRPr="00446CD4">
              <w:rPr>
                <w:rFonts w:ascii="Arial" w:hAnsi="Arial" w:cs="Arial"/>
                <w:color w:val="000000" w:themeColor="text1"/>
                <w:sz w:val="18"/>
                <w:szCs w:val="18"/>
              </w:rPr>
              <w:t>%</w:t>
            </w:r>
          </w:p>
        </w:tc>
      </w:tr>
      <w:tr w:rsidR="00EC1479" w:rsidRPr="00FB41A2" w14:paraId="22B1D63C" w14:textId="77777777" w:rsidTr="005B001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53A0525" w14:textId="77777777" w:rsidR="00EC1479" w:rsidRPr="000D0537" w:rsidRDefault="00EC1479" w:rsidP="00EC1479">
            <w:pPr>
              <w:pStyle w:val="NoSpacing"/>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pork</w:t>
            </w:r>
          </w:p>
        </w:tc>
        <w:tc>
          <w:tcPr>
            <w:tcW w:w="990" w:type="dxa"/>
            <w:gridSpan w:val="2"/>
            <w:tcBorders>
              <w:top w:val="nil"/>
              <w:bottom w:val="nil"/>
            </w:tcBorders>
            <w:shd w:val="clear" w:color="auto" w:fill="D9D9D9" w:themeFill="background1" w:themeFillShade="D9"/>
          </w:tcPr>
          <w:p w14:paraId="2DE43083" w14:textId="21BA24E0"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510964">
              <w:rPr>
                <w:rFonts w:ascii="Arial" w:hAnsi="Arial" w:cs="Arial"/>
                <w:color w:val="auto"/>
                <w:sz w:val="18"/>
                <w:szCs w:val="18"/>
              </w:rPr>
              <w:t>$</w:t>
            </w:r>
            <w:r w:rsidR="00E145E6">
              <w:rPr>
                <w:rFonts w:ascii="Arial" w:hAnsi="Arial" w:cs="Arial"/>
                <w:color w:val="auto"/>
                <w:sz w:val="18"/>
                <w:szCs w:val="18"/>
              </w:rPr>
              <w:t>15</w:t>
            </w:r>
            <w:r w:rsidRPr="00510964">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2625E3CA" w14:textId="2177661C"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536157">
              <w:rPr>
                <w:rFonts w:ascii="Arial" w:hAnsi="Arial" w:cs="Arial"/>
                <w:color w:val="000000" w:themeColor="text1"/>
                <w:sz w:val="18"/>
                <w:szCs w:val="18"/>
              </w:rPr>
              <w:t>+</w:t>
            </w:r>
            <w:r w:rsidR="00E145E6">
              <w:rPr>
                <w:rFonts w:ascii="Arial" w:hAnsi="Arial" w:cs="Arial"/>
                <w:color w:val="000000" w:themeColor="text1"/>
                <w:sz w:val="18"/>
                <w:szCs w:val="18"/>
              </w:rPr>
              <w:t>2.6</w:t>
            </w:r>
            <w:r w:rsidRPr="00536157">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16A079D4" w14:textId="72C33EA7"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D42D1">
              <w:rPr>
                <w:rFonts w:ascii="Arial" w:hAnsi="Arial" w:cs="Arial"/>
                <w:color w:val="000000"/>
                <w:sz w:val="18"/>
                <w:szCs w:val="18"/>
              </w:rPr>
              <w:t>+</w:t>
            </w:r>
            <w:r w:rsidR="00E145E6">
              <w:rPr>
                <w:rFonts w:ascii="Arial" w:hAnsi="Arial" w:cs="Arial"/>
                <w:color w:val="000000"/>
                <w:sz w:val="18"/>
                <w:szCs w:val="18"/>
              </w:rPr>
              <w:t>7.0</w:t>
            </w:r>
            <w:r w:rsidRPr="00DD42D1">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256E6B65" w14:textId="026B8B23" w:rsidR="00EC1479" w:rsidRPr="000D0537"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pork</w:t>
            </w:r>
          </w:p>
        </w:tc>
        <w:tc>
          <w:tcPr>
            <w:tcW w:w="990" w:type="dxa"/>
            <w:tcBorders>
              <w:top w:val="nil"/>
              <w:bottom w:val="nil"/>
            </w:tcBorders>
            <w:shd w:val="clear" w:color="auto" w:fill="D9D9D9" w:themeFill="background1" w:themeFillShade="D9"/>
          </w:tcPr>
          <w:p w14:paraId="181AD012" w14:textId="2CC372AF"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5341A8">
              <w:rPr>
                <w:rFonts w:ascii="Arial" w:hAnsi="Arial" w:cs="Arial"/>
                <w:color w:val="auto"/>
                <w:sz w:val="18"/>
                <w:szCs w:val="18"/>
              </w:rPr>
              <w:t>$</w:t>
            </w:r>
            <w:r w:rsidR="00E145E6">
              <w:rPr>
                <w:rFonts w:ascii="Arial" w:hAnsi="Arial" w:cs="Arial"/>
                <w:color w:val="auto"/>
                <w:sz w:val="18"/>
                <w:szCs w:val="18"/>
              </w:rPr>
              <w:t>227</w:t>
            </w:r>
            <w:r w:rsidRPr="005341A8">
              <w:rPr>
                <w:rFonts w:ascii="Arial" w:hAnsi="Arial" w:cs="Arial"/>
                <w:color w:val="auto"/>
                <w:sz w:val="18"/>
                <w:szCs w:val="18"/>
              </w:rPr>
              <w:t>M</w:t>
            </w:r>
          </w:p>
        </w:tc>
        <w:tc>
          <w:tcPr>
            <w:tcW w:w="1277" w:type="dxa"/>
            <w:tcBorders>
              <w:top w:val="nil"/>
              <w:bottom w:val="nil"/>
            </w:tcBorders>
            <w:shd w:val="clear" w:color="auto" w:fill="D9D9D9" w:themeFill="background1" w:themeFillShade="D9"/>
          </w:tcPr>
          <w:p w14:paraId="57ACF5DD" w14:textId="7DB9833C"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E145E6">
              <w:rPr>
                <w:rFonts w:ascii="Arial" w:hAnsi="Arial" w:cs="Arial"/>
                <w:color w:val="000000" w:themeColor="text1"/>
                <w:sz w:val="18"/>
                <w:szCs w:val="18"/>
              </w:rPr>
              <w:t>0.2</w:t>
            </w:r>
            <w:r w:rsidRPr="00446CD4">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21610963" w14:textId="609B4051"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E145E6">
              <w:rPr>
                <w:rFonts w:ascii="Arial" w:hAnsi="Arial" w:cs="Arial"/>
                <w:color w:val="000000" w:themeColor="text1"/>
                <w:sz w:val="18"/>
                <w:szCs w:val="18"/>
              </w:rPr>
              <w:t>2.8</w:t>
            </w:r>
            <w:r w:rsidRPr="00446CD4">
              <w:rPr>
                <w:rFonts w:ascii="Arial" w:hAnsi="Arial" w:cs="Arial"/>
                <w:color w:val="000000" w:themeColor="text1"/>
                <w:sz w:val="18"/>
                <w:szCs w:val="18"/>
              </w:rPr>
              <w:t>%</w:t>
            </w:r>
          </w:p>
        </w:tc>
      </w:tr>
      <w:tr w:rsidR="00EC1479" w:rsidRPr="00525982" w14:paraId="6A79E46F" w14:textId="77777777" w:rsidTr="005B0011">
        <w:trPr>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2F86402F" w14:textId="6F2F7BE9" w:rsidR="00EC1479" w:rsidRPr="000D0537" w:rsidRDefault="00EC1479" w:rsidP="00EC1479">
            <w:pPr>
              <w:pStyle w:val="NoSpacing"/>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lamb</w:t>
            </w:r>
          </w:p>
        </w:tc>
        <w:tc>
          <w:tcPr>
            <w:tcW w:w="990" w:type="dxa"/>
            <w:gridSpan w:val="2"/>
            <w:tcBorders>
              <w:top w:val="nil"/>
              <w:left w:val="nil"/>
              <w:bottom w:val="nil"/>
              <w:right w:val="nil"/>
            </w:tcBorders>
          </w:tcPr>
          <w:p w14:paraId="4C5909CA" w14:textId="7BE94221"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510964">
              <w:rPr>
                <w:rFonts w:ascii="Arial" w:hAnsi="Arial" w:cs="Arial"/>
                <w:color w:val="auto"/>
                <w:sz w:val="18"/>
                <w:szCs w:val="18"/>
              </w:rPr>
              <w:t>$</w:t>
            </w:r>
            <w:r w:rsidR="00E145E6">
              <w:rPr>
                <w:rFonts w:ascii="Arial" w:hAnsi="Arial" w:cs="Arial"/>
                <w:color w:val="auto"/>
                <w:sz w:val="18"/>
                <w:szCs w:val="18"/>
              </w:rPr>
              <w:t>3.8</w:t>
            </w:r>
            <w:r w:rsidRPr="00510964">
              <w:rPr>
                <w:rFonts w:ascii="Arial" w:hAnsi="Arial" w:cs="Arial"/>
                <w:color w:val="auto"/>
                <w:sz w:val="18"/>
                <w:szCs w:val="18"/>
              </w:rPr>
              <w:t>M</w:t>
            </w:r>
          </w:p>
        </w:tc>
        <w:tc>
          <w:tcPr>
            <w:tcW w:w="1075" w:type="dxa"/>
            <w:tcBorders>
              <w:top w:val="nil"/>
              <w:left w:val="nil"/>
              <w:bottom w:val="nil"/>
              <w:right w:val="nil"/>
            </w:tcBorders>
          </w:tcPr>
          <w:p w14:paraId="0ED96580" w14:textId="4A0EBEA5"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536157">
              <w:rPr>
                <w:rFonts w:ascii="Arial" w:hAnsi="Arial" w:cs="Arial"/>
                <w:color w:val="000000" w:themeColor="text1"/>
                <w:sz w:val="18"/>
                <w:szCs w:val="18"/>
              </w:rPr>
              <w:t>+</w:t>
            </w:r>
            <w:r w:rsidR="00E145E6">
              <w:rPr>
                <w:rFonts w:ascii="Arial" w:hAnsi="Arial" w:cs="Arial"/>
                <w:color w:val="000000" w:themeColor="text1"/>
                <w:sz w:val="18"/>
                <w:szCs w:val="18"/>
              </w:rPr>
              <w:t>14.1</w:t>
            </w:r>
            <w:r w:rsidRPr="00536157">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tcPr>
          <w:p w14:paraId="45178E2E" w14:textId="563DDFA1"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D42D1">
              <w:rPr>
                <w:rFonts w:ascii="Arial" w:hAnsi="Arial" w:cs="Arial"/>
                <w:color w:val="000000"/>
                <w:sz w:val="18"/>
                <w:szCs w:val="18"/>
              </w:rPr>
              <w:t>+</w:t>
            </w:r>
            <w:r w:rsidR="00E145E6">
              <w:rPr>
                <w:rFonts w:ascii="Arial" w:hAnsi="Arial" w:cs="Arial"/>
                <w:color w:val="000000"/>
                <w:sz w:val="18"/>
                <w:szCs w:val="18"/>
              </w:rPr>
              <w:t>7.3</w:t>
            </w:r>
            <w:r w:rsidRPr="00DD42D1">
              <w:rPr>
                <w:rFonts w:ascii="Arial" w:hAnsi="Arial" w:cs="Arial"/>
                <w:color w:val="000000"/>
                <w:sz w:val="18"/>
                <w:szCs w:val="18"/>
              </w:rPr>
              <w:t>%</w:t>
            </w:r>
          </w:p>
        </w:tc>
        <w:tc>
          <w:tcPr>
            <w:tcW w:w="1732" w:type="dxa"/>
            <w:gridSpan w:val="2"/>
            <w:tcBorders>
              <w:top w:val="nil"/>
              <w:left w:val="single" w:sz="4" w:space="0" w:color="31849B" w:themeColor="accent5" w:themeShade="BF"/>
              <w:bottom w:val="nil"/>
              <w:right w:val="nil"/>
            </w:tcBorders>
            <w:vAlign w:val="center"/>
          </w:tcPr>
          <w:p w14:paraId="33B65AC5" w14:textId="221080C5" w:rsidR="00EC1479" w:rsidRPr="000D0537"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lamb</w:t>
            </w:r>
          </w:p>
        </w:tc>
        <w:tc>
          <w:tcPr>
            <w:tcW w:w="990" w:type="dxa"/>
            <w:tcBorders>
              <w:top w:val="nil"/>
              <w:left w:val="nil"/>
              <w:bottom w:val="nil"/>
              <w:right w:val="nil"/>
            </w:tcBorders>
          </w:tcPr>
          <w:p w14:paraId="75C50C28" w14:textId="6AD99B8E"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341A8">
              <w:rPr>
                <w:rFonts w:ascii="Arial" w:hAnsi="Arial" w:cs="Arial"/>
                <w:color w:val="auto"/>
                <w:sz w:val="18"/>
                <w:szCs w:val="18"/>
              </w:rPr>
              <w:t>$</w:t>
            </w:r>
            <w:r w:rsidR="00E145E6">
              <w:rPr>
                <w:rFonts w:ascii="Arial" w:hAnsi="Arial" w:cs="Arial"/>
                <w:color w:val="auto"/>
                <w:sz w:val="18"/>
                <w:szCs w:val="18"/>
              </w:rPr>
              <w:t>57</w:t>
            </w:r>
            <w:r w:rsidRPr="005341A8">
              <w:rPr>
                <w:rFonts w:ascii="Arial" w:hAnsi="Arial" w:cs="Arial"/>
                <w:color w:val="auto"/>
                <w:sz w:val="18"/>
                <w:szCs w:val="18"/>
              </w:rPr>
              <w:t>M</w:t>
            </w:r>
          </w:p>
        </w:tc>
        <w:tc>
          <w:tcPr>
            <w:tcW w:w="1277" w:type="dxa"/>
            <w:tcBorders>
              <w:top w:val="nil"/>
              <w:left w:val="nil"/>
              <w:bottom w:val="nil"/>
              <w:right w:val="nil"/>
            </w:tcBorders>
          </w:tcPr>
          <w:p w14:paraId="23705D82" w14:textId="4B3BB271"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E145E6">
              <w:rPr>
                <w:rFonts w:ascii="Arial" w:hAnsi="Arial" w:cs="Arial"/>
                <w:color w:val="000000" w:themeColor="text1"/>
                <w:sz w:val="18"/>
                <w:szCs w:val="18"/>
              </w:rPr>
              <w:t>12.7</w:t>
            </w:r>
            <w:r w:rsidRPr="00446CD4">
              <w:rPr>
                <w:rFonts w:ascii="Arial" w:hAnsi="Arial" w:cs="Arial"/>
                <w:color w:val="000000" w:themeColor="text1"/>
                <w:sz w:val="18"/>
                <w:szCs w:val="18"/>
              </w:rPr>
              <w:t>%</w:t>
            </w:r>
          </w:p>
        </w:tc>
        <w:tc>
          <w:tcPr>
            <w:tcW w:w="1333" w:type="dxa"/>
            <w:tcBorders>
              <w:top w:val="nil"/>
              <w:left w:val="nil"/>
              <w:bottom w:val="nil"/>
            </w:tcBorders>
          </w:tcPr>
          <w:p w14:paraId="28C00B2F" w14:textId="7DA77A89"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46CD4">
              <w:rPr>
                <w:rFonts w:ascii="Arial" w:hAnsi="Arial" w:cs="Arial"/>
                <w:color w:val="000000" w:themeColor="text1"/>
                <w:sz w:val="18"/>
                <w:szCs w:val="18"/>
              </w:rPr>
              <w:t>+</w:t>
            </w:r>
            <w:r w:rsidR="00E145E6">
              <w:rPr>
                <w:rFonts w:ascii="Arial" w:hAnsi="Arial" w:cs="Arial"/>
                <w:color w:val="000000" w:themeColor="text1"/>
                <w:sz w:val="18"/>
                <w:szCs w:val="18"/>
              </w:rPr>
              <w:t>11.3</w:t>
            </w:r>
            <w:r w:rsidRPr="00446CD4">
              <w:rPr>
                <w:rFonts w:ascii="Arial" w:hAnsi="Arial" w:cs="Arial"/>
                <w:color w:val="000000" w:themeColor="text1"/>
                <w:sz w:val="18"/>
                <w:szCs w:val="18"/>
              </w:rPr>
              <w:t>%</w:t>
            </w:r>
          </w:p>
        </w:tc>
      </w:tr>
      <w:tr w:rsidR="00EC1479" w:rsidRPr="00FB41A2" w14:paraId="5A862543" w14:textId="77777777" w:rsidTr="005B001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13D78C6" w14:textId="380BC422" w:rsidR="00EC1479" w:rsidRPr="000D0537" w:rsidRDefault="00EC1479" w:rsidP="00EC1479">
            <w:pPr>
              <w:pStyle w:val="NoSpacing"/>
              <w:rPr>
                <w:rFonts w:ascii="Arial" w:hAnsi="Arial" w:cs="Arial"/>
                <w:b w:val="0"/>
                <w:bCs w:val="0"/>
                <w:color w:val="000000" w:themeColor="text1"/>
                <w:sz w:val="18"/>
                <w:szCs w:val="18"/>
              </w:rPr>
            </w:pPr>
            <w:r w:rsidRPr="000D0537">
              <w:rPr>
                <w:rFonts w:ascii="Arial" w:hAnsi="Arial" w:cs="Arial"/>
                <w:b w:val="0"/>
                <w:bCs w:val="0"/>
                <w:color w:val="000000" w:themeColor="text1"/>
                <w:sz w:val="18"/>
                <w:szCs w:val="18"/>
              </w:rPr>
              <w:t>Ground veal</w:t>
            </w:r>
          </w:p>
        </w:tc>
        <w:tc>
          <w:tcPr>
            <w:tcW w:w="990" w:type="dxa"/>
            <w:gridSpan w:val="2"/>
            <w:tcBorders>
              <w:top w:val="nil"/>
              <w:bottom w:val="nil"/>
            </w:tcBorders>
            <w:shd w:val="clear" w:color="auto" w:fill="D9D9D9" w:themeFill="background1" w:themeFillShade="D9"/>
          </w:tcPr>
          <w:p w14:paraId="0E4F26D7" w14:textId="22DB2E64"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510964">
              <w:rPr>
                <w:rFonts w:ascii="Arial" w:hAnsi="Arial" w:cs="Arial"/>
                <w:color w:val="auto"/>
                <w:sz w:val="18"/>
                <w:szCs w:val="18"/>
              </w:rPr>
              <w:t>$</w:t>
            </w:r>
            <w:r w:rsidR="00E145E6">
              <w:rPr>
                <w:rFonts w:ascii="Arial" w:hAnsi="Arial" w:cs="Arial"/>
                <w:color w:val="auto"/>
                <w:sz w:val="18"/>
                <w:szCs w:val="18"/>
              </w:rPr>
              <w:t>0.7</w:t>
            </w:r>
            <w:r w:rsidRPr="00510964">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0D91B098" w14:textId="1F049B96"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536157">
              <w:rPr>
                <w:rFonts w:ascii="Arial" w:hAnsi="Arial" w:cs="Arial"/>
                <w:color w:val="000000" w:themeColor="text1"/>
                <w:sz w:val="18"/>
                <w:szCs w:val="18"/>
              </w:rPr>
              <w:t>+</w:t>
            </w:r>
            <w:r w:rsidR="00E145E6">
              <w:rPr>
                <w:rFonts w:ascii="Arial" w:hAnsi="Arial" w:cs="Arial"/>
                <w:color w:val="000000" w:themeColor="text1"/>
                <w:sz w:val="18"/>
                <w:szCs w:val="18"/>
              </w:rPr>
              <w:t>8.2</w:t>
            </w:r>
            <w:r w:rsidRPr="00536157">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29306A52" w14:textId="5AC39BED" w:rsidR="00EC1479" w:rsidRPr="000D0537" w:rsidRDefault="00E145E6"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+5.0</w:t>
            </w:r>
            <w:r w:rsidR="00EC1479" w:rsidRPr="00B25877">
              <w:rPr>
                <w:rFonts w:ascii="Arial" w:hAnsi="Arial" w:cs="Arial"/>
                <w:color w:val="000000"/>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416BA0FC" w14:textId="6DE6D024" w:rsidR="00EC1479" w:rsidRPr="000D0537"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D0537">
              <w:rPr>
                <w:rFonts w:ascii="Arial" w:hAnsi="Arial" w:cs="Arial"/>
                <w:color w:val="000000" w:themeColor="text1"/>
                <w:sz w:val="18"/>
                <w:szCs w:val="18"/>
              </w:rPr>
              <w:t>Ground veal</w:t>
            </w:r>
          </w:p>
        </w:tc>
        <w:tc>
          <w:tcPr>
            <w:tcW w:w="990" w:type="dxa"/>
            <w:tcBorders>
              <w:top w:val="nil"/>
              <w:bottom w:val="nil"/>
            </w:tcBorders>
            <w:shd w:val="clear" w:color="auto" w:fill="D9D9D9" w:themeFill="background1" w:themeFillShade="D9"/>
          </w:tcPr>
          <w:p w14:paraId="590BAB2D" w14:textId="3D4D7940"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5341A8">
              <w:rPr>
                <w:rFonts w:ascii="Arial" w:hAnsi="Arial" w:cs="Arial"/>
                <w:color w:val="auto"/>
                <w:sz w:val="18"/>
                <w:szCs w:val="18"/>
              </w:rPr>
              <w:t>$</w:t>
            </w:r>
            <w:r w:rsidR="00E145E6">
              <w:rPr>
                <w:rFonts w:ascii="Arial" w:hAnsi="Arial" w:cs="Arial"/>
                <w:color w:val="auto"/>
                <w:sz w:val="18"/>
                <w:szCs w:val="18"/>
              </w:rPr>
              <w:t>10</w:t>
            </w:r>
            <w:r w:rsidRPr="005341A8">
              <w:rPr>
                <w:rFonts w:ascii="Arial" w:hAnsi="Arial" w:cs="Arial"/>
                <w:color w:val="auto"/>
                <w:sz w:val="18"/>
                <w:szCs w:val="18"/>
              </w:rPr>
              <w:t>M</w:t>
            </w:r>
          </w:p>
        </w:tc>
        <w:tc>
          <w:tcPr>
            <w:tcW w:w="1277" w:type="dxa"/>
            <w:tcBorders>
              <w:top w:val="nil"/>
              <w:bottom w:val="nil"/>
            </w:tcBorders>
            <w:shd w:val="clear" w:color="auto" w:fill="D9D9D9" w:themeFill="background1" w:themeFillShade="D9"/>
            <w:vAlign w:val="center"/>
          </w:tcPr>
          <w:p w14:paraId="2FB2D010" w14:textId="492D6B3D" w:rsidR="00EC1479" w:rsidRPr="000D0537" w:rsidRDefault="00E145E6"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+2.8</w:t>
            </w:r>
            <w:r w:rsidR="00EC1479" w:rsidRPr="00DF3C06">
              <w:rPr>
                <w:rFonts w:ascii="Arial" w:hAnsi="Arial" w:cs="Arial"/>
                <w:color w:val="000000"/>
                <w:sz w:val="18"/>
                <w:szCs w:val="18"/>
              </w:rPr>
              <w:t>%</w:t>
            </w:r>
          </w:p>
        </w:tc>
        <w:tc>
          <w:tcPr>
            <w:tcW w:w="1333" w:type="dxa"/>
            <w:tcBorders>
              <w:top w:val="nil"/>
              <w:bottom w:val="nil"/>
            </w:tcBorders>
            <w:shd w:val="clear" w:color="auto" w:fill="D9D9D9" w:themeFill="background1" w:themeFillShade="D9"/>
            <w:vAlign w:val="center"/>
          </w:tcPr>
          <w:p w14:paraId="79E4D32C" w14:textId="7EB345BC"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w:t>
            </w:r>
            <w:r w:rsidR="00E145E6">
              <w:rPr>
                <w:rFonts w:ascii="Arial" w:hAnsi="Arial" w:cs="Arial"/>
                <w:color w:val="000000"/>
                <w:sz w:val="18"/>
                <w:szCs w:val="18"/>
              </w:rPr>
              <w:t>0.5</w:t>
            </w:r>
            <w:r w:rsidRPr="00DF3C06">
              <w:rPr>
                <w:rFonts w:ascii="Arial" w:hAnsi="Arial" w:cs="Arial"/>
                <w:color w:val="000000"/>
                <w:sz w:val="18"/>
                <w:szCs w:val="18"/>
              </w:rPr>
              <w:t>%</w:t>
            </w:r>
          </w:p>
        </w:tc>
      </w:tr>
      <w:bookmarkEnd w:id="13"/>
    </w:tbl>
    <w:p w14:paraId="78C9C012" w14:textId="24AA8B0B" w:rsidR="008916F6" w:rsidRPr="0027199D" w:rsidRDefault="008916F6" w:rsidP="008916F6">
      <w:pPr>
        <w:pStyle w:val="NoSpacing"/>
        <w:rPr>
          <w:rFonts w:ascii="Arial" w:hAnsi="Arial" w:cs="Arial"/>
          <w:sz w:val="4"/>
          <w:szCs w:val="10"/>
        </w:rPr>
      </w:pPr>
    </w:p>
    <w:p w14:paraId="6EDA657A" w14:textId="5502F868" w:rsidR="008916F6" w:rsidRPr="00797BB8" w:rsidRDefault="008916F6" w:rsidP="008916F6">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 xml:space="preserve">Source: </w:t>
      </w:r>
      <w:proofErr w:type="spellStart"/>
      <w:r w:rsidR="00FB48FE" w:rsidRPr="00797BB8">
        <w:rPr>
          <w:rFonts w:ascii="Arial" w:hAnsi="Arial" w:cs="Arial"/>
          <w:color w:val="7F7F7F" w:themeColor="text1" w:themeTint="80"/>
          <w:sz w:val="16"/>
          <w:szCs w:val="16"/>
        </w:rPr>
        <w:t>Circana</w:t>
      </w:r>
      <w:proofErr w:type="spellEnd"/>
      <w:r w:rsidRPr="00797BB8">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4B73EBBC" w14:textId="58C0354C" w:rsidR="00F44177" w:rsidRDefault="00F44177" w:rsidP="00F44177">
      <w:pPr>
        <w:pStyle w:val="NoSpacing"/>
        <w:rPr>
          <w:rFonts w:ascii="Arial" w:hAnsi="Arial" w:cs="Arial"/>
          <w:b/>
          <w:color w:val="595959" w:themeColor="text1" w:themeTint="A6"/>
          <w:sz w:val="28"/>
          <w:szCs w:val="32"/>
        </w:rPr>
      </w:pPr>
    </w:p>
    <w:p w14:paraId="65DBEF0A" w14:textId="675A366B" w:rsidR="00AE4240" w:rsidRDefault="00AE4240" w:rsidP="00AE4240">
      <w:pPr>
        <w:pStyle w:val="NoSpacing"/>
        <w:rPr>
          <w:rFonts w:ascii="Arial" w:hAnsi="Arial" w:cs="Arial"/>
          <w:b/>
          <w:bCs/>
          <w:color w:val="595959" w:themeColor="text1" w:themeTint="A6"/>
          <w:sz w:val="24"/>
          <w:szCs w:val="24"/>
        </w:rPr>
      </w:pPr>
      <w:bookmarkStart w:id="14" w:name="_Hlk187583242"/>
      <w:r w:rsidRPr="00DD45E6">
        <w:rPr>
          <w:rFonts w:ascii="Arial" w:hAnsi="Arial" w:cs="Arial"/>
          <w:b/>
          <w:bCs/>
          <w:color w:val="595959" w:themeColor="text1" w:themeTint="A6"/>
          <w:sz w:val="24"/>
          <w:szCs w:val="24"/>
        </w:rPr>
        <w:t>What’s Next?</w:t>
      </w:r>
    </w:p>
    <w:bookmarkEnd w:id="14"/>
    <w:p w14:paraId="786A8B14" w14:textId="77777777" w:rsidR="00FC591F" w:rsidRPr="00537128" w:rsidRDefault="00FC591F" w:rsidP="00FC591F">
      <w:pPr>
        <w:pStyle w:val="ListParagraph"/>
        <w:numPr>
          <w:ilvl w:val="0"/>
          <w:numId w:val="31"/>
        </w:numPr>
        <w:spacing w:after="160" w:line="278" w:lineRule="auto"/>
        <w:contextualSpacing/>
        <w:rPr>
          <w:rFonts w:ascii="Arial" w:eastAsia="Times New Roman" w:hAnsi="Arial" w:cs="Arial"/>
          <w:color w:val="000000"/>
          <w:sz w:val="20"/>
          <w:szCs w:val="20"/>
        </w:rPr>
      </w:pPr>
      <w:r w:rsidRPr="00537128">
        <w:rPr>
          <w:rFonts w:ascii="Arial" w:eastAsia="Times New Roman" w:hAnsi="Arial" w:cs="Arial"/>
          <w:color w:val="000000"/>
          <w:sz w:val="20"/>
          <w:szCs w:val="20"/>
        </w:rPr>
        <w:t xml:space="preserve">According to the </w:t>
      </w:r>
      <w:proofErr w:type="spellStart"/>
      <w:r w:rsidRPr="00537128">
        <w:rPr>
          <w:rFonts w:ascii="Arial" w:eastAsia="Times New Roman" w:hAnsi="Arial" w:cs="Arial"/>
          <w:color w:val="000000"/>
          <w:sz w:val="20"/>
          <w:szCs w:val="20"/>
        </w:rPr>
        <w:t>Circana</w:t>
      </w:r>
      <w:proofErr w:type="spellEnd"/>
      <w:r w:rsidRPr="00537128">
        <w:rPr>
          <w:rFonts w:ascii="Arial" w:eastAsia="Times New Roman" w:hAnsi="Arial" w:cs="Arial"/>
          <w:color w:val="000000"/>
          <w:sz w:val="20"/>
          <w:szCs w:val="20"/>
        </w:rPr>
        <w:t xml:space="preserve"> survey of primary grocery shoppers, consumers are expecting summer travel to be fairly similar to last year's. If consumers choose to travel less (about one in 10) they cite travel costs and financial pressure in general as the main reasons. </w:t>
      </w:r>
    </w:p>
    <w:p w14:paraId="2A66684A" w14:textId="77777777" w:rsidR="00FC591F" w:rsidRPr="00537128" w:rsidRDefault="00FC591F" w:rsidP="00FC591F">
      <w:pPr>
        <w:pStyle w:val="ListParagraph"/>
        <w:numPr>
          <w:ilvl w:val="0"/>
          <w:numId w:val="31"/>
        </w:numPr>
        <w:spacing w:after="160" w:line="278" w:lineRule="auto"/>
        <w:contextualSpacing/>
        <w:rPr>
          <w:rFonts w:ascii="Arial" w:eastAsia="Times New Roman" w:hAnsi="Arial" w:cs="Arial"/>
          <w:color w:val="000000"/>
          <w:sz w:val="20"/>
          <w:szCs w:val="20"/>
        </w:rPr>
      </w:pPr>
      <w:r w:rsidRPr="00537128">
        <w:rPr>
          <w:rFonts w:ascii="Arial" w:eastAsia="Times New Roman" w:hAnsi="Arial" w:cs="Arial"/>
          <w:color w:val="000000"/>
          <w:sz w:val="20"/>
          <w:szCs w:val="20"/>
        </w:rPr>
        <w:t xml:space="preserve">Consumers also expect summer cooking patterns to be similar to last year’s, hosting family and friends and doing cookouts several times during the 13 weeks between Memorial and Labor Day. One-third say new foods and recipes may prompt additional grilling occasions. </w:t>
      </w:r>
    </w:p>
    <w:p w14:paraId="35BBB99F" w14:textId="77777777" w:rsidR="00FC591F" w:rsidRDefault="00FC591F" w:rsidP="00FC591F">
      <w:pPr>
        <w:pStyle w:val="ListParagraph"/>
        <w:numPr>
          <w:ilvl w:val="0"/>
          <w:numId w:val="31"/>
        </w:numPr>
        <w:spacing w:after="160" w:line="278" w:lineRule="auto"/>
        <w:contextualSpacing/>
        <w:rPr>
          <w:rFonts w:ascii="Arial" w:eastAsia="Times New Roman" w:hAnsi="Arial" w:cs="Arial"/>
          <w:color w:val="000000"/>
          <w:sz w:val="20"/>
          <w:szCs w:val="20"/>
        </w:rPr>
      </w:pPr>
      <w:r w:rsidRPr="00537128">
        <w:rPr>
          <w:rFonts w:ascii="Arial" w:eastAsia="Times New Roman" w:hAnsi="Arial" w:cs="Arial"/>
          <w:color w:val="000000"/>
          <w:sz w:val="20"/>
          <w:szCs w:val="20"/>
        </w:rPr>
        <w:t xml:space="preserve">Seven in 10 households who grill at least once during the summer tend to prepare their own meat/seafood items, whereas 17% buy grill-ready items. Consumers are slightly more likely to purchase pre-made sides, at 25%. </w:t>
      </w:r>
    </w:p>
    <w:p w14:paraId="33165C29" w14:textId="323DFF29" w:rsidR="009B42ED" w:rsidRDefault="009B42ED" w:rsidP="00FC591F">
      <w:pPr>
        <w:pStyle w:val="ListParagraph"/>
        <w:numPr>
          <w:ilvl w:val="0"/>
          <w:numId w:val="31"/>
        </w:numPr>
        <w:spacing w:after="160" w:line="278"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These are big opportunities for the meat department, especially with focused grilling ads and merchandising that integrate other departments such as bakery and produce.</w:t>
      </w:r>
    </w:p>
    <w:p w14:paraId="2F120CE2" w14:textId="77777777" w:rsidR="00401B3C" w:rsidRDefault="00401B3C">
      <w:pPr>
        <w:rPr>
          <w:rFonts w:ascii="Arial" w:eastAsiaTheme="majorEastAsia" w:hAnsi="Arial" w:cs="Arial"/>
          <w:b/>
          <w:color w:val="595959" w:themeColor="text1" w:themeTint="A6"/>
          <w:sz w:val="24"/>
          <w:szCs w:val="24"/>
        </w:rPr>
      </w:pPr>
      <w:r>
        <w:rPr>
          <w:rFonts w:ascii="Arial" w:hAnsi="Arial" w:cs="Arial"/>
          <w:b/>
          <w:color w:val="595959" w:themeColor="text1" w:themeTint="A6"/>
          <w:sz w:val="24"/>
          <w:szCs w:val="24"/>
        </w:rPr>
        <w:br w:type="page"/>
      </w:r>
    </w:p>
    <w:p w14:paraId="0CD44DC7" w14:textId="5718F41F" w:rsidR="00AE4240" w:rsidRPr="00401B3C" w:rsidRDefault="00F605CE" w:rsidP="00A03097">
      <w:pPr>
        <w:pStyle w:val="Heading2"/>
        <w:rPr>
          <w:rFonts w:ascii="Arial" w:hAnsi="Arial" w:cs="Arial"/>
          <w:b/>
          <w:color w:val="595959" w:themeColor="text1" w:themeTint="A6"/>
          <w:sz w:val="28"/>
          <w:szCs w:val="28"/>
        </w:rPr>
      </w:pPr>
      <w:r>
        <w:rPr>
          <w:rFonts w:ascii="Arial" w:hAnsi="Arial" w:cs="Arial"/>
          <w:b/>
          <w:color w:val="595959" w:themeColor="text1" w:themeTint="A6"/>
          <w:sz w:val="28"/>
          <w:szCs w:val="28"/>
        </w:rPr>
        <w:lastRenderedPageBreak/>
        <w:t>Deli Meat Sales Pull Down Strong June Results for Cheese, Entertaining and Deli-Prepared Foods</w:t>
      </w:r>
    </w:p>
    <w:p w14:paraId="7684BB30" w14:textId="77777777" w:rsidR="00AE4240" w:rsidRDefault="00AE4240" w:rsidP="00A03097">
      <w:pPr>
        <w:pStyle w:val="Heading2"/>
        <w:rPr>
          <w:rFonts w:ascii="Arial" w:hAnsi="Arial" w:cs="Arial"/>
          <w:b/>
          <w:color w:val="595959" w:themeColor="text1" w:themeTint="A6"/>
          <w:sz w:val="24"/>
          <w:szCs w:val="24"/>
        </w:rPr>
      </w:pPr>
    </w:p>
    <w:p w14:paraId="5C75BA8E" w14:textId="3BCB04D2" w:rsidR="00A03097" w:rsidRPr="00F543EA" w:rsidRDefault="00A03097" w:rsidP="00A03097">
      <w:pPr>
        <w:pStyle w:val="Heading2"/>
        <w:rPr>
          <w:rFonts w:ascii="Arial" w:hAnsi="Arial" w:cs="Arial"/>
          <w:b/>
          <w:color w:val="595959" w:themeColor="text1" w:themeTint="A6"/>
          <w:sz w:val="24"/>
          <w:szCs w:val="24"/>
        </w:rPr>
      </w:pPr>
      <w:r w:rsidRPr="00F543EA">
        <w:rPr>
          <w:rFonts w:ascii="Arial" w:hAnsi="Arial" w:cs="Arial"/>
          <w:b/>
          <w:color w:val="595959" w:themeColor="text1" w:themeTint="A6"/>
          <w:sz w:val="24"/>
          <w:szCs w:val="24"/>
        </w:rPr>
        <w:t>Deli Sales</w:t>
      </w:r>
    </w:p>
    <w:p w14:paraId="2B82AFAE" w14:textId="3E53233A" w:rsidR="00A03097" w:rsidRDefault="005839D2" w:rsidP="00A03097">
      <w:pPr>
        <w:pStyle w:val="NoSpacing"/>
        <w:rPr>
          <w:rFonts w:ascii="Arial" w:hAnsi="Arial" w:cs="Arial"/>
          <w:sz w:val="20"/>
          <w:szCs w:val="20"/>
        </w:rPr>
      </w:pPr>
      <w:r>
        <w:rPr>
          <w:rFonts w:ascii="Arial" w:hAnsi="Arial" w:cs="Arial"/>
          <w:sz w:val="20"/>
          <w:szCs w:val="20"/>
        </w:rPr>
        <w:t xml:space="preserve">In </w:t>
      </w:r>
      <w:r w:rsidR="000A2703">
        <w:rPr>
          <w:rFonts w:ascii="Arial" w:hAnsi="Arial" w:cs="Arial"/>
          <w:sz w:val="20"/>
          <w:szCs w:val="20"/>
        </w:rPr>
        <w:t>June</w:t>
      </w:r>
      <w:r>
        <w:rPr>
          <w:rFonts w:ascii="Arial" w:hAnsi="Arial" w:cs="Arial"/>
          <w:sz w:val="20"/>
          <w:szCs w:val="20"/>
        </w:rPr>
        <w:t>, y</w:t>
      </w:r>
      <w:r w:rsidR="00401B3C">
        <w:rPr>
          <w:rFonts w:ascii="Arial" w:hAnsi="Arial" w:cs="Arial"/>
          <w:sz w:val="20"/>
          <w:szCs w:val="20"/>
        </w:rPr>
        <w:t xml:space="preserve">ear-over-year unit sales growth was highest for </w:t>
      </w:r>
      <w:r>
        <w:rPr>
          <w:rFonts w:ascii="Arial" w:hAnsi="Arial" w:cs="Arial"/>
          <w:sz w:val="20"/>
          <w:szCs w:val="20"/>
        </w:rPr>
        <w:t>deli entertaining</w:t>
      </w:r>
      <w:r w:rsidR="00435FCB">
        <w:rPr>
          <w:rFonts w:ascii="Arial" w:hAnsi="Arial" w:cs="Arial"/>
          <w:sz w:val="20"/>
          <w:szCs w:val="20"/>
        </w:rPr>
        <w:t xml:space="preserve"> influenced by </w:t>
      </w:r>
      <w:r w:rsidR="00F605CE">
        <w:rPr>
          <w:rFonts w:ascii="Arial" w:hAnsi="Arial" w:cs="Arial"/>
          <w:sz w:val="20"/>
          <w:szCs w:val="20"/>
        </w:rPr>
        <w:t>Father’s Day</w:t>
      </w:r>
      <w:r w:rsidR="00435FCB">
        <w:rPr>
          <w:rFonts w:ascii="Arial" w:hAnsi="Arial" w:cs="Arial"/>
          <w:sz w:val="20"/>
          <w:szCs w:val="20"/>
        </w:rPr>
        <w:t xml:space="preserve"> sales.</w:t>
      </w:r>
      <w:r>
        <w:rPr>
          <w:rFonts w:ascii="Arial" w:hAnsi="Arial" w:cs="Arial"/>
          <w:sz w:val="20"/>
          <w:szCs w:val="20"/>
        </w:rPr>
        <w:t xml:space="preserve"> However, deli prepared easily rema</w:t>
      </w:r>
      <w:r w:rsidR="008719A3">
        <w:rPr>
          <w:rFonts w:ascii="Arial" w:hAnsi="Arial" w:cs="Arial"/>
          <w:sz w:val="20"/>
          <w:szCs w:val="20"/>
        </w:rPr>
        <w:t>ined the largest seller, at $</w:t>
      </w:r>
      <w:r w:rsidR="00F605CE">
        <w:rPr>
          <w:rFonts w:ascii="Arial" w:hAnsi="Arial" w:cs="Arial"/>
          <w:sz w:val="20"/>
          <w:szCs w:val="20"/>
        </w:rPr>
        <w:t>2.5</w:t>
      </w:r>
      <w:r>
        <w:rPr>
          <w:rFonts w:ascii="Arial" w:hAnsi="Arial" w:cs="Arial"/>
          <w:sz w:val="20"/>
          <w:szCs w:val="20"/>
        </w:rPr>
        <w:t xml:space="preserve"> billion</w:t>
      </w:r>
      <w:r w:rsidR="00435FCB">
        <w:rPr>
          <w:rFonts w:ascii="Arial" w:hAnsi="Arial" w:cs="Arial"/>
          <w:sz w:val="20"/>
          <w:szCs w:val="20"/>
        </w:rPr>
        <w:t xml:space="preserve">, with the </w:t>
      </w:r>
      <w:r w:rsidR="00F605CE">
        <w:rPr>
          <w:rFonts w:ascii="Arial" w:hAnsi="Arial" w:cs="Arial"/>
          <w:sz w:val="20"/>
          <w:szCs w:val="20"/>
        </w:rPr>
        <w:t>third</w:t>
      </w:r>
      <w:r w:rsidR="00EC1479">
        <w:rPr>
          <w:rFonts w:ascii="Arial" w:hAnsi="Arial" w:cs="Arial"/>
          <w:sz w:val="20"/>
          <w:szCs w:val="20"/>
        </w:rPr>
        <w:t>-highest rate of growth, at +</w:t>
      </w:r>
      <w:r w:rsidR="00F605CE">
        <w:rPr>
          <w:rFonts w:ascii="Arial" w:hAnsi="Arial" w:cs="Arial"/>
          <w:sz w:val="20"/>
          <w:szCs w:val="20"/>
        </w:rPr>
        <w:t>1.1</w:t>
      </w:r>
      <w:r w:rsidR="00435FCB">
        <w:rPr>
          <w:rFonts w:ascii="Arial" w:hAnsi="Arial" w:cs="Arial"/>
          <w:sz w:val="20"/>
          <w:szCs w:val="20"/>
        </w:rPr>
        <w:t>% in units</w:t>
      </w:r>
      <w:r w:rsidR="00A03097">
        <w:rPr>
          <w:rFonts w:ascii="Arial" w:hAnsi="Arial" w:cs="Arial"/>
          <w:sz w:val="20"/>
          <w:szCs w:val="20"/>
        </w:rPr>
        <w:t>.</w:t>
      </w:r>
      <w:r w:rsidR="00435FCB">
        <w:rPr>
          <w:rFonts w:ascii="Arial" w:hAnsi="Arial" w:cs="Arial"/>
          <w:sz w:val="20"/>
          <w:szCs w:val="20"/>
        </w:rPr>
        <w:t xml:space="preserve"> </w:t>
      </w:r>
    </w:p>
    <w:p w14:paraId="4F9A74BC" w14:textId="77777777" w:rsidR="00A03097" w:rsidRPr="00AA0E2A" w:rsidRDefault="00A03097" w:rsidP="00A03097">
      <w:pPr>
        <w:pStyle w:val="NoSpacing"/>
        <w:rPr>
          <w:rFonts w:ascii="Arial" w:hAnsi="Arial" w:cs="Arial"/>
          <w:sz w:val="10"/>
          <w:szCs w:val="10"/>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34"/>
        <w:gridCol w:w="1333"/>
        <w:gridCol w:w="1333"/>
      </w:tblGrid>
      <w:tr w:rsidR="00A03097" w:rsidRPr="0003007F" w14:paraId="037F69F4"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737D37EB" w14:textId="77777777" w:rsidR="00A03097" w:rsidRPr="00AB1306" w:rsidRDefault="00A03097" w:rsidP="000D0537">
            <w:pPr>
              <w:pStyle w:val="NoSpacing"/>
              <w:rPr>
                <w:rFonts w:ascii="Arial" w:hAnsi="Arial" w:cs="Arial"/>
                <w:color w:val="FFFFFF" w:themeColor="background1"/>
                <w:sz w:val="18"/>
                <w:szCs w:val="18"/>
              </w:rPr>
            </w:pPr>
          </w:p>
        </w:tc>
        <w:tc>
          <w:tcPr>
            <w:tcW w:w="3420" w:type="dxa"/>
            <w:gridSpan w:val="5"/>
            <w:tcBorders>
              <w:top w:val="nil"/>
              <w:bottom w:val="nil"/>
            </w:tcBorders>
            <w:shd w:val="clear" w:color="auto" w:fill="0F243E" w:themeFill="text2" w:themeFillShade="80"/>
          </w:tcPr>
          <w:p w14:paraId="25D73A98" w14:textId="3A9EC096" w:rsidR="00A03097" w:rsidRPr="00AB1306" w:rsidRDefault="000A2703"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June</w:t>
            </w:r>
            <w:r w:rsidR="00401B3C">
              <w:rPr>
                <w:rFonts w:ascii="Arial" w:hAnsi="Arial" w:cs="Arial"/>
                <w:color w:val="FFFFFF" w:themeColor="background1"/>
                <w:sz w:val="18"/>
                <w:szCs w:val="18"/>
              </w:rPr>
              <w:t xml:space="preserve"> </w:t>
            </w:r>
            <w:r w:rsidR="00A03097">
              <w:rPr>
                <w:rFonts w:ascii="Arial" w:hAnsi="Arial" w:cs="Arial"/>
                <w:color w:val="FFFFFF" w:themeColor="background1"/>
                <w:sz w:val="18"/>
                <w:szCs w:val="18"/>
              </w:rPr>
              <w:t>2025</w:t>
            </w:r>
          </w:p>
        </w:tc>
        <w:tc>
          <w:tcPr>
            <w:tcW w:w="1710" w:type="dxa"/>
            <w:tcBorders>
              <w:top w:val="nil"/>
              <w:bottom w:val="nil"/>
            </w:tcBorders>
            <w:shd w:val="clear" w:color="auto" w:fill="0F243E" w:themeFill="text2" w:themeFillShade="80"/>
          </w:tcPr>
          <w:p w14:paraId="4CEF9563"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1E42CB56" w14:textId="77777777" w:rsidR="00A03097" w:rsidRPr="0003007F" w:rsidRDefault="00A03097"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A03097" w:rsidRPr="002A3B9B" w14:paraId="3FFD0796"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4A106299" w14:textId="77777777" w:rsidR="00A03097" w:rsidRPr="002A3B9B" w:rsidRDefault="00A03097" w:rsidP="000D0537">
            <w:pPr>
              <w:pStyle w:val="NoSpacing"/>
              <w:rPr>
                <w:rFonts w:ascii="Arial" w:hAnsi="Arial" w:cs="Arial"/>
                <w:color w:val="FFFFFF" w:themeColor="background1"/>
                <w:sz w:val="18"/>
                <w:szCs w:val="18"/>
              </w:rPr>
            </w:pPr>
          </w:p>
        </w:tc>
        <w:tc>
          <w:tcPr>
            <w:tcW w:w="900" w:type="dxa"/>
            <w:tcBorders>
              <w:top w:val="nil"/>
              <w:bottom w:val="nil"/>
            </w:tcBorders>
            <w:shd w:val="clear" w:color="auto" w:fill="0F243E" w:themeFill="text2" w:themeFillShade="80"/>
          </w:tcPr>
          <w:p w14:paraId="71A360D2"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gridSpan w:val="2"/>
            <w:tcBorders>
              <w:top w:val="nil"/>
              <w:bottom w:val="nil"/>
            </w:tcBorders>
            <w:shd w:val="clear" w:color="auto" w:fill="0F243E" w:themeFill="text2" w:themeFillShade="80"/>
          </w:tcPr>
          <w:p w14:paraId="23C63EF1"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right w:val="single" w:sz="4" w:space="0" w:color="auto"/>
            </w:tcBorders>
            <w:shd w:val="clear" w:color="auto" w:fill="0F243E" w:themeFill="text2" w:themeFillShade="80"/>
          </w:tcPr>
          <w:p w14:paraId="076977B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Units </w:t>
            </w:r>
            <w:r w:rsidRPr="002A3B9B">
              <w:rPr>
                <w:rFonts w:ascii="Arial" w:hAnsi="Arial" w:cs="Arial"/>
                <w:b/>
                <w:bCs/>
                <w:color w:val="FFFFFF" w:themeColor="background1"/>
                <w:sz w:val="18"/>
                <w:szCs w:val="18"/>
              </w:rPr>
              <w:t>vs. YA</w:t>
            </w:r>
          </w:p>
        </w:tc>
        <w:tc>
          <w:tcPr>
            <w:tcW w:w="1732" w:type="dxa"/>
            <w:gridSpan w:val="2"/>
            <w:tcBorders>
              <w:top w:val="nil"/>
              <w:left w:val="single" w:sz="4" w:space="0" w:color="auto"/>
              <w:bottom w:val="nil"/>
            </w:tcBorders>
            <w:shd w:val="clear" w:color="auto" w:fill="0F243E" w:themeFill="text2" w:themeFillShade="80"/>
          </w:tcPr>
          <w:p w14:paraId="7421C0D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4DEF64B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73F6FF37"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65A9D92A"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Units </w:t>
            </w:r>
            <w:r w:rsidRPr="002A3B9B">
              <w:rPr>
                <w:rFonts w:ascii="Arial" w:hAnsi="Arial" w:cs="Arial"/>
                <w:b/>
                <w:bCs/>
                <w:color w:val="FFFFFF" w:themeColor="background1"/>
                <w:sz w:val="18"/>
                <w:szCs w:val="18"/>
              </w:rPr>
              <w:t>vs. YA</w:t>
            </w:r>
          </w:p>
        </w:tc>
      </w:tr>
      <w:tr w:rsidR="00A03097" w:rsidRPr="00956854" w14:paraId="411AB0F0" w14:textId="77777777" w:rsidTr="00435FCB">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6918CB79" w14:textId="77777777" w:rsidR="00A03097" w:rsidRPr="00956854" w:rsidRDefault="00A03097" w:rsidP="000D0537">
            <w:pPr>
              <w:pStyle w:val="NoSpacing"/>
              <w:rPr>
                <w:rFonts w:ascii="Arial" w:hAnsi="Arial" w:cs="Arial"/>
                <w:b w:val="0"/>
                <w:bCs w:val="0"/>
                <w:color w:val="000000" w:themeColor="text1"/>
                <w:sz w:val="18"/>
                <w:szCs w:val="18"/>
              </w:rPr>
            </w:pPr>
            <w:r w:rsidRPr="00956854">
              <w:rPr>
                <w:rFonts w:ascii="Arial" w:hAnsi="Arial" w:cs="Arial"/>
                <w:color w:val="000000" w:themeColor="text1"/>
                <w:sz w:val="18"/>
                <w:szCs w:val="18"/>
              </w:rPr>
              <w:t>Department deli</w:t>
            </w:r>
          </w:p>
        </w:tc>
        <w:tc>
          <w:tcPr>
            <w:tcW w:w="990" w:type="dxa"/>
            <w:gridSpan w:val="2"/>
            <w:tcBorders>
              <w:top w:val="nil"/>
              <w:left w:val="nil"/>
              <w:bottom w:val="nil"/>
              <w:right w:val="nil"/>
            </w:tcBorders>
            <w:vAlign w:val="center"/>
          </w:tcPr>
          <w:p w14:paraId="7742D3D2" w14:textId="1CD701F4" w:rsidR="00A03097" w:rsidRPr="00A40F2C" w:rsidRDefault="000D0537" w:rsidP="00704804">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A40F2C">
              <w:rPr>
                <w:rFonts w:ascii="Arial" w:hAnsi="Arial" w:cs="Arial"/>
                <w:b/>
                <w:color w:val="000000" w:themeColor="text1"/>
                <w:sz w:val="18"/>
                <w:szCs w:val="18"/>
              </w:rPr>
              <w:t>$</w:t>
            </w:r>
            <w:r w:rsidR="005B4D33">
              <w:rPr>
                <w:rFonts w:ascii="Arial" w:hAnsi="Arial" w:cs="Arial"/>
                <w:b/>
                <w:color w:val="000000" w:themeColor="text1"/>
                <w:sz w:val="18"/>
                <w:szCs w:val="18"/>
              </w:rPr>
              <w:t>4.5</w:t>
            </w:r>
            <w:r w:rsidR="00A03097" w:rsidRPr="00A40F2C">
              <w:rPr>
                <w:rFonts w:ascii="Arial" w:hAnsi="Arial" w:cs="Arial"/>
                <w:b/>
                <w:color w:val="000000" w:themeColor="text1"/>
                <w:sz w:val="18"/>
                <w:szCs w:val="18"/>
              </w:rPr>
              <w:t>B</w:t>
            </w:r>
          </w:p>
        </w:tc>
        <w:tc>
          <w:tcPr>
            <w:tcW w:w="1075" w:type="dxa"/>
            <w:tcBorders>
              <w:top w:val="nil"/>
              <w:left w:val="nil"/>
              <w:bottom w:val="nil"/>
              <w:right w:val="nil"/>
            </w:tcBorders>
            <w:vAlign w:val="center"/>
          </w:tcPr>
          <w:p w14:paraId="59C50A96" w14:textId="3B49B3C7" w:rsidR="00A03097" w:rsidRPr="00A40F2C" w:rsidRDefault="000D0537" w:rsidP="00704804">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A40F2C">
              <w:rPr>
                <w:rFonts w:ascii="Arial" w:hAnsi="Arial" w:cs="Arial"/>
                <w:b/>
                <w:color w:val="000000" w:themeColor="text1"/>
                <w:sz w:val="18"/>
                <w:szCs w:val="18"/>
              </w:rPr>
              <w:t>+</w:t>
            </w:r>
            <w:r w:rsidR="005B4D33">
              <w:rPr>
                <w:rFonts w:ascii="Arial" w:hAnsi="Arial" w:cs="Arial"/>
                <w:b/>
                <w:color w:val="000000" w:themeColor="text1"/>
                <w:sz w:val="18"/>
                <w:szCs w:val="18"/>
              </w:rPr>
              <w:t>1.1</w:t>
            </w:r>
            <w:r w:rsidR="00A03097" w:rsidRPr="00A40F2C">
              <w:rPr>
                <w:rFonts w:ascii="Arial" w:hAnsi="Arial" w:cs="Arial"/>
                <w:b/>
                <w:color w:val="000000" w:themeColor="text1"/>
                <w:sz w:val="18"/>
                <w:szCs w:val="18"/>
              </w:rPr>
              <w:t>%</w:t>
            </w:r>
          </w:p>
        </w:tc>
        <w:tc>
          <w:tcPr>
            <w:tcW w:w="1333" w:type="dxa"/>
            <w:tcBorders>
              <w:top w:val="nil"/>
              <w:left w:val="nil"/>
              <w:bottom w:val="nil"/>
              <w:right w:val="single" w:sz="4" w:space="0" w:color="auto"/>
            </w:tcBorders>
            <w:vAlign w:val="center"/>
          </w:tcPr>
          <w:p w14:paraId="7733FA86" w14:textId="62FF1A1C" w:rsidR="00A03097" w:rsidRPr="00A40F2C" w:rsidRDefault="000D0537" w:rsidP="00704804">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A40F2C">
              <w:rPr>
                <w:rFonts w:ascii="Arial" w:hAnsi="Arial" w:cs="Arial"/>
                <w:b/>
                <w:color w:val="000000" w:themeColor="text1"/>
                <w:sz w:val="18"/>
                <w:szCs w:val="18"/>
              </w:rPr>
              <w:t>+</w:t>
            </w:r>
            <w:r w:rsidR="005B4D33">
              <w:rPr>
                <w:rFonts w:ascii="Arial" w:hAnsi="Arial" w:cs="Arial"/>
                <w:b/>
                <w:color w:val="000000" w:themeColor="text1"/>
                <w:sz w:val="18"/>
                <w:szCs w:val="18"/>
              </w:rPr>
              <w:t>0.4</w:t>
            </w:r>
            <w:r w:rsidR="00A03097" w:rsidRPr="00A40F2C">
              <w:rPr>
                <w:rFonts w:ascii="Arial" w:hAnsi="Arial" w:cs="Arial"/>
                <w:b/>
                <w:color w:val="000000" w:themeColor="text1"/>
                <w:sz w:val="18"/>
                <w:szCs w:val="18"/>
              </w:rPr>
              <w:t>%</w:t>
            </w:r>
          </w:p>
        </w:tc>
        <w:tc>
          <w:tcPr>
            <w:tcW w:w="1732" w:type="dxa"/>
            <w:gridSpan w:val="2"/>
            <w:tcBorders>
              <w:top w:val="nil"/>
              <w:left w:val="single" w:sz="4" w:space="0" w:color="auto"/>
              <w:bottom w:val="nil"/>
              <w:right w:val="nil"/>
            </w:tcBorders>
            <w:vAlign w:val="center"/>
          </w:tcPr>
          <w:p w14:paraId="201EE550" w14:textId="1FCD54FE" w:rsidR="00A03097" w:rsidRPr="00956854" w:rsidRDefault="00A03097" w:rsidP="000D053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956854">
              <w:rPr>
                <w:rFonts w:ascii="Arial" w:hAnsi="Arial" w:cs="Arial"/>
                <w:b/>
                <w:bCs/>
                <w:color w:val="000000" w:themeColor="text1"/>
                <w:sz w:val="18"/>
                <w:szCs w:val="18"/>
              </w:rPr>
              <w:t>Department deli</w:t>
            </w:r>
          </w:p>
        </w:tc>
        <w:tc>
          <w:tcPr>
            <w:tcW w:w="934" w:type="dxa"/>
            <w:tcBorders>
              <w:top w:val="nil"/>
              <w:left w:val="nil"/>
              <w:bottom w:val="nil"/>
              <w:right w:val="nil"/>
            </w:tcBorders>
            <w:vAlign w:val="center"/>
          </w:tcPr>
          <w:p w14:paraId="5C4FE0A3" w14:textId="72AA8995" w:rsidR="00A03097" w:rsidRPr="00956854" w:rsidRDefault="00A03097"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956854">
              <w:rPr>
                <w:rFonts w:ascii="Arial" w:hAnsi="Arial" w:cs="Arial"/>
                <w:b/>
                <w:color w:val="000000" w:themeColor="text1"/>
                <w:sz w:val="18"/>
                <w:szCs w:val="18"/>
              </w:rPr>
              <w:t>$</w:t>
            </w:r>
            <w:r w:rsidR="005B4D33">
              <w:rPr>
                <w:rFonts w:ascii="Arial" w:hAnsi="Arial" w:cs="Arial"/>
                <w:b/>
                <w:color w:val="000000" w:themeColor="text1"/>
                <w:sz w:val="18"/>
                <w:szCs w:val="18"/>
              </w:rPr>
              <w:t>56.8</w:t>
            </w:r>
            <w:r w:rsidRPr="00956854">
              <w:rPr>
                <w:rFonts w:ascii="Arial" w:hAnsi="Arial" w:cs="Arial"/>
                <w:b/>
                <w:color w:val="000000" w:themeColor="text1"/>
                <w:sz w:val="18"/>
                <w:szCs w:val="18"/>
              </w:rPr>
              <w:t>B</w:t>
            </w:r>
          </w:p>
        </w:tc>
        <w:tc>
          <w:tcPr>
            <w:tcW w:w="1333" w:type="dxa"/>
            <w:tcBorders>
              <w:top w:val="nil"/>
              <w:left w:val="nil"/>
              <w:bottom w:val="nil"/>
              <w:right w:val="nil"/>
            </w:tcBorders>
            <w:vAlign w:val="center"/>
          </w:tcPr>
          <w:p w14:paraId="7F69BE5A" w14:textId="68B44748" w:rsidR="00A03097" w:rsidRPr="00956854" w:rsidRDefault="000D0537"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5B4D33">
              <w:rPr>
                <w:rFonts w:ascii="Arial" w:hAnsi="Arial" w:cs="Arial"/>
                <w:b/>
                <w:color w:val="000000" w:themeColor="text1"/>
                <w:sz w:val="18"/>
                <w:szCs w:val="18"/>
              </w:rPr>
              <w:t>2.6</w:t>
            </w:r>
            <w:r w:rsidR="00A03097" w:rsidRPr="00956854">
              <w:rPr>
                <w:rFonts w:ascii="Arial" w:hAnsi="Arial" w:cs="Arial"/>
                <w:b/>
                <w:color w:val="000000" w:themeColor="text1"/>
                <w:sz w:val="18"/>
                <w:szCs w:val="18"/>
              </w:rPr>
              <w:t>%</w:t>
            </w:r>
          </w:p>
        </w:tc>
        <w:tc>
          <w:tcPr>
            <w:tcW w:w="1333" w:type="dxa"/>
            <w:tcBorders>
              <w:top w:val="nil"/>
              <w:left w:val="nil"/>
              <w:bottom w:val="nil"/>
            </w:tcBorders>
            <w:vAlign w:val="center"/>
          </w:tcPr>
          <w:p w14:paraId="16B88D8A" w14:textId="2D88E0C8" w:rsidR="00A03097" w:rsidRPr="00956854" w:rsidRDefault="000D0537"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5B4D33">
              <w:rPr>
                <w:rFonts w:ascii="Arial" w:hAnsi="Arial" w:cs="Arial"/>
                <w:b/>
                <w:color w:val="000000" w:themeColor="text1"/>
                <w:sz w:val="18"/>
                <w:szCs w:val="18"/>
              </w:rPr>
              <w:t>2.3</w:t>
            </w:r>
            <w:r w:rsidR="00A03097" w:rsidRPr="00956854">
              <w:rPr>
                <w:rFonts w:ascii="Arial" w:hAnsi="Arial" w:cs="Arial"/>
                <w:b/>
                <w:color w:val="000000" w:themeColor="text1"/>
                <w:sz w:val="18"/>
                <w:szCs w:val="18"/>
              </w:rPr>
              <w:t>%</w:t>
            </w:r>
          </w:p>
        </w:tc>
      </w:tr>
      <w:tr w:rsidR="00EC1479" w:rsidRPr="00956854" w14:paraId="6165A02A"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802BDCE" w14:textId="77777777" w:rsidR="00EC1479" w:rsidRPr="00956854" w:rsidRDefault="00EC1479" w:rsidP="00EC1479">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Deli cheese</w:t>
            </w:r>
          </w:p>
        </w:tc>
        <w:tc>
          <w:tcPr>
            <w:tcW w:w="990" w:type="dxa"/>
            <w:gridSpan w:val="2"/>
            <w:tcBorders>
              <w:top w:val="nil"/>
              <w:bottom w:val="nil"/>
            </w:tcBorders>
            <w:shd w:val="clear" w:color="auto" w:fill="D9D9D9" w:themeFill="background1" w:themeFillShade="D9"/>
          </w:tcPr>
          <w:p w14:paraId="5C3860C6" w14:textId="6467552F"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FF7C2B">
              <w:rPr>
                <w:rFonts w:ascii="Arial" w:hAnsi="Arial" w:cs="Arial"/>
                <w:color w:val="auto"/>
                <w:sz w:val="18"/>
                <w:szCs w:val="18"/>
              </w:rPr>
              <w:t>$</w:t>
            </w:r>
            <w:r w:rsidR="005B4D33">
              <w:rPr>
                <w:rFonts w:ascii="Arial" w:hAnsi="Arial" w:cs="Arial"/>
                <w:color w:val="auto"/>
                <w:sz w:val="18"/>
                <w:szCs w:val="18"/>
              </w:rPr>
              <w:t>764</w:t>
            </w:r>
            <w:r w:rsidRPr="00FF7C2B">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79E57D11" w14:textId="69365D9F" w:rsidR="00EC1479" w:rsidRPr="00956854" w:rsidRDefault="005B4D33"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+4.6</w:t>
            </w:r>
            <w:r w:rsidR="00EC1479" w:rsidRPr="001656C3">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vAlign w:val="center"/>
          </w:tcPr>
          <w:p w14:paraId="73FC0004" w14:textId="73958345" w:rsidR="00EC1479" w:rsidRPr="0095685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22F6B">
              <w:rPr>
                <w:rFonts w:ascii="Arial" w:hAnsi="Arial" w:cs="Arial"/>
                <w:color w:val="000000" w:themeColor="text1"/>
                <w:sz w:val="18"/>
                <w:szCs w:val="18"/>
              </w:rPr>
              <w:t>+</w:t>
            </w:r>
            <w:r w:rsidR="005B4D33">
              <w:rPr>
                <w:rFonts w:ascii="Arial" w:hAnsi="Arial" w:cs="Arial"/>
                <w:color w:val="000000" w:themeColor="text1"/>
                <w:sz w:val="18"/>
                <w:szCs w:val="18"/>
              </w:rPr>
              <w:t>2.3</w:t>
            </w:r>
            <w:r w:rsidRPr="00A22F6B">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2599899F" w14:textId="77777777" w:rsidR="00EC1479" w:rsidRPr="00956854"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Deli cheese</w:t>
            </w:r>
          </w:p>
        </w:tc>
        <w:tc>
          <w:tcPr>
            <w:tcW w:w="934" w:type="dxa"/>
            <w:tcBorders>
              <w:top w:val="nil"/>
              <w:bottom w:val="nil"/>
            </w:tcBorders>
            <w:shd w:val="clear" w:color="auto" w:fill="D9D9D9" w:themeFill="background1" w:themeFillShade="D9"/>
          </w:tcPr>
          <w:p w14:paraId="0E416F75" w14:textId="2334779D" w:rsidR="00EC1479" w:rsidRPr="0095685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590D">
              <w:rPr>
                <w:rFonts w:ascii="Arial" w:hAnsi="Arial" w:cs="Arial"/>
                <w:color w:val="auto"/>
                <w:sz w:val="18"/>
                <w:szCs w:val="18"/>
              </w:rPr>
              <w:t>$</w:t>
            </w:r>
            <w:r w:rsidR="005B4D33">
              <w:rPr>
                <w:rFonts w:ascii="Arial" w:hAnsi="Arial" w:cs="Arial"/>
                <w:color w:val="auto"/>
                <w:sz w:val="18"/>
                <w:szCs w:val="18"/>
              </w:rPr>
              <w:t>9.8</w:t>
            </w:r>
            <w:r w:rsidRPr="009F590D">
              <w:rPr>
                <w:rFonts w:ascii="Arial" w:hAnsi="Arial" w:cs="Arial"/>
                <w:color w:val="auto"/>
                <w:sz w:val="18"/>
                <w:szCs w:val="18"/>
              </w:rPr>
              <w:t>B</w:t>
            </w:r>
          </w:p>
        </w:tc>
        <w:tc>
          <w:tcPr>
            <w:tcW w:w="1333" w:type="dxa"/>
            <w:tcBorders>
              <w:top w:val="nil"/>
              <w:bottom w:val="nil"/>
            </w:tcBorders>
            <w:shd w:val="clear" w:color="auto" w:fill="D9D9D9" w:themeFill="background1" w:themeFillShade="D9"/>
          </w:tcPr>
          <w:p w14:paraId="7F5D950C" w14:textId="019BFEB2" w:rsidR="00EC1479" w:rsidRPr="0095685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07F1A">
              <w:rPr>
                <w:rFonts w:ascii="Arial" w:hAnsi="Arial" w:cs="Arial"/>
                <w:color w:val="000000" w:themeColor="text1"/>
                <w:sz w:val="18"/>
                <w:szCs w:val="18"/>
              </w:rPr>
              <w:t>+</w:t>
            </w:r>
            <w:r w:rsidR="005B4D33">
              <w:rPr>
                <w:rFonts w:ascii="Arial" w:hAnsi="Arial" w:cs="Arial"/>
                <w:color w:val="000000" w:themeColor="text1"/>
                <w:sz w:val="18"/>
                <w:szCs w:val="18"/>
              </w:rPr>
              <w:t>3.7</w:t>
            </w:r>
            <w:r w:rsidRPr="00007F1A">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442BDA61" w14:textId="2EF7480B" w:rsidR="00EC1479" w:rsidRPr="0095685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07F1A">
              <w:rPr>
                <w:rFonts w:ascii="Arial" w:hAnsi="Arial" w:cs="Arial"/>
                <w:color w:val="000000" w:themeColor="text1"/>
                <w:sz w:val="18"/>
                <w:szCs w:val="18"/>
              </w:rPr>
              <w:t>+</w:t>
            </w:r>
            <w:r w:rsidR="005B4D33">
              <w:rPr>
                <w:rFonts w:ascii="Arial" w:hAnsi="Arial" w:cs="Arial"/>
                <w:color w:val="000000" w:themeColor="text1"/>
                <w:sz w:val="18"/>
                <w:szCs w:val="18"/>
              </w:rPr>
              <w:t>2.4</w:t>
            </w:r>
            <w:r w:rsidRPr="00007F1A">
              <w:rPr>
                <w:rFonts w:ascii="Arial" w:hAnsi="Arial" w:cs="Arial"/>
                <w:color w:val="000000" w:themeColor="text1"/>
                <w:sz w:val="18"/>
                <w:szCs w:val="18"/>
              </w:rPr>
              <w:t>%</w:t>
            </w:r>
          </w:p>
        </w:tc>
      </w:tr>
      <w:tr w:rsidR="00EC1479" w:rsidRPr="00956854" w14:paraId="732A35CD"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12BE5ECD" w14:textId="77777777" w:rsidR="00EC1479" w:rsidRPr="00956854" w:rsidRDefault="00EC1479" w:rsidP="00EC1479">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Deli entertaining</w:t>
            </w:r>
          </w:p>
        </w:tc>
        <w:tc>
          <w:tcPr>
            <w:tcW w:w="990" w:type="dxa"/>
            <w:gridSpan w:val="2"/>
            <w:tcBorders>
              <w:top w:val="nil"/>
              <w:left w:val="nil"/>
              <w:bottom w:val="nil"/>
              <w:right w:val="nil"/>
            </w:tcBorders>
          </w:tcPr>
          <w:p w14:paraId="2C479566" w14:textId="4A3F5308"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FF7C2B">
              <w:rPr>
                <w:rFonts w:ascii="Arial" w:hAnsi="Arial" w:cs="Arial"/>
                <w:color w:val="auto"/>
                <w:sz w:val="18"/>
                <w:szCs w:val="18"/>
              </w:rPr>
              <w:t>$</w:t>
            </w:r>
            <w:r w:rsidR="005B4D33">
              <w:rPr>
                <w:rFonts w:ascii="Arial" w:hAnsi="Arial" w:cs="Arial"/>
                <w:color w:val="auto"/>
                <w:sz w:val="18"/>
                <w:szCs w:val="18"/>
              </w:rPr>
              <w:t>513</w:t>
            </w:r>
            <w:r w:rsidRPr="00FF7C2B">
              <w:rPr>
                <w:rFonts w:ascii="Arial" w:hAnsi="Arial" w:cs="Arial"/>
                <w:color w:val="auto"/>
                <w:sz w:val="18"/>
                <w:szCs w:val="18"/>
              </w:rPr>
              <w:t>M</w:t>
            </w:r>
          </w:p>
        </w:tc>
        <w:tc>
          <w:tcPr>
            <w:tcW w:w="1075" w:type="dxa"/>
            <w:tcBorders>
              <w:top w:val="nil"/>
              <w:left w:val="nil"/>
              <w:bottom w:val="nil"/>
              <w:right w:val="nil"/>
            </w:tcBorders>
            <w:vAlign w:val="center"/>
          </w:tcPr>
          <w:p w14:paraId="513B2300" w14:textId="5B996D58" w:rsidR="00EC1479" w:rsidRPr="0095685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B4D33">
              <w:rPr>
                <w:rFonts w:ascii="Arial" w:hAnsi="Arial" w:cs="Arial"/>
                <w:color w:val="000000" w:themeColor="text1"/>
                <w:sz w:val="18"/>
                <w:szCs w:val="18"/>
              </w:rPr>
              <w:t>2.9</w:t>
            </w:r>
            <w:r w:rsidRPr="001656C3">
              <w:rPr>
                <w:rFonts w:ascii="Arial" w:hAnsi="Arial" w:cs="Arial"/>
                <w:color w:val="000000" w:themeColor="text1"/>
                <w:sz w:val="18"/>
                <w:szCs w:val="18"/>
              </w:rPr>
              <w:t>%</w:t>
            </w:r>
          </w:p>
        </w:tc>
        <w:tc>
          <w:tcPr>
            <w:tcW w:w="1333" w:type="dxa"/>
            <w:tcBorders>
              <w:top w:val="nil"/>
              <w:left w:val="nil"/>
              <w:bottom w:val="nil"/>
              <w:right w:val="single" w:sz="4" w:space="0" w:color="auto"/>
            </w:tcBorders>
            <w:vAlign w:val="center"/>
          </w:tcPr>
          <w:p w14:paraId="64BA92A3" w14:textId="459F0E41" w:rsidR="00EC1479" w:rsidRPr="0095685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22F6B">
              <w:rPr>
                <w:rFonts w:ascii="Arial" w:hAnsi="Arial" w:cs="Arial"/>
                <w:color w:val="000000" w:themeColor="text1"/>
                <w:sz w:val="18"/>
                <w:szCs w:val="18"/>
              </w:rPr>
              <w:t>+</w:t>
            </w:r>
            <w:r w:rsidR="005B4D33">
              <w:rPr>
                <w:rFonts w:ascii="Arial" w:hAnsi="Arial" w:cs="Arial"/>
                <w:color w:val="000000" w:themeColor="text1"/>
                <w:sz w:val="18"/>
                <w:szCs w:val="18"/>
              </w:rPr>
              <w:t>3.1</w:t>
            </w:r>
            <w:r w:rsidRPr="00A22F6B">
              <w:rPr>
                <w:rFonts w:ascii="Arial" w:hAnsi="Arial" w:cs="Arial"/>
                <w:color w:val="000000" w:themeColor="text1"/>
                <w:sz w:val="18"/>
                <w:szCs w:val="18"/>
              </w:rPr>
              <w:t>%</w:t>
            </w:r>
          </w:p>
        </w:tc>
        <w:tc>
          <w:tcPr>
            <w:tcW w:w="1732" w:type="dxa"/>
            <w:gridSpan w:val="2"/>
            <w:tcBorders>
              <w:top w:val="nil"/>
              <w:left w:val="single" w:sz="4" w:space="0" w:color="auto"/>
              <w:bottom w:val="nil"/>
              <w:right w:val="nil"/>
            </w:tcBorders>
            <w:vAlign w:val="center"/>
          </w:tcPr>
          <w:p w14:paraId="649856AC" w14:textId="77777777" w:rsidR="00EC1479" w:rsidRPr="00956854"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Deli entertaining</w:t>
            </w:r>
          </w:p>
        </w:tc>
        <w:tc>
          <w:tcPr>
            <w:tcW w:w="934" w:type="dxa"/>
            <w:tcBorders>
              <w:top w:val="nil"/>
              <w:left w:val="nil"/>
              <w:bottom w:val="nil"/>
              <w:right w:val="nil"/>
            </w:tcBorders>
          </w:tcPr>
          <w:p w14:paraId="4341EE0F" w14:textId="196F0832" w:rsidR="00EC1479" w:rsidRPr="0095685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590D">
              <w:rPr>
                <w:rFonts w:ascii="Arial" w:hAnsi="Arial" w:cs="Arial"/>
                <w:color w:val="auto"/>
                <w:sz w:val="18"/>
                <w:szCs w:val="18"/>
              </w:rPr>
              <w:t>$</w:t>
            </w:r>
            <w:r w:rsidR="005B4D33">
              <w:rPr>
                <w:rFonts w:ascii="Arial" w:hAnsi="Arial" w:cs="Arial"/>
                <w:color w:val="auto"/>
                <w:sz w:val="18"/>
                <w:szCs w:val="18"/>
              </w:rPr>
              <w:t>6.5</w:t>
            </w:r>
            <w:r w:rsidRPr="009F590D">
              <w:rPr>
                <w:rFonts w:ascii="Arial" w:hAnsi="Arial" w:cs="Arial"/>
                <w:color w:val="auto"/>
                <w:sz w:val="18"/>
                <w:szCs w:val="18"/>
              </w:rPr>
              <w:t>B</w:t>
            </w:r>
          </w:p>
        </w:tc>
        <w:tc>
          <w:tcPr>
            <w:tcW w:w="1333" w:type="dxa"/>
            <w:tcBorders>
              <w:top w:val="nil"/>
              <w:left w:val="nil"/>
              <w:bottom w:val="nil"/>
              <w:right w:val="nil"/>
            </w:tcBorders>
          </w:tcPr>
          <w:p w14:paraId="53568CAA" w14:textId="492A0822" w:rsidR="00EC1479" w:rsidRPr="0095685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07F1A">
              <w:rPr>
                <w:rFonts w:ascii="Arial" w:hAnsi="Arial" w:cs="Arial"/>
                <w:color w:val="000000" w:themeColor="text1"/>
                <w:sz w:val="18"/>
                <w:szCs w:val="18"/>
              </w:rPr>
              <w:t>+</w:t>
            </w:r>
            <w:r w:rsidR="005B4D33">
              <w:rPr>
                <w:rFonts w:ascii="Arial" w:hAnsi="Arial" w:cs="Arial"/>
                <w:color w:val="000000" w:themeColor="text1"/>
                <w:sz w:val="18"/>
                <w:szCs w:val="18"/>
              </w:rPr>
              <w:t>5.0</w:t>
            </w:r>
            <w:r w:rsidRPr="00007F1A">
              <w:rPr>
                <w:rFonts w:ascii="Arial" w:hAnsi="Arial" w:cs="Arial"/>
                <w:color w:val="000000" w:themeColor="text1"/>
                <w:sz w:val="18"/>
                <w:szCs w:val="18"/>
              </w:rPr>
              <w:t>%</w:t>
            </w:r>
          </w:p>
        </w:tc>
        <w:tc>
          <w:tcPr>
            <w:tcW w:w="1333" w:type="dxa"/>
            <w:tcBorders>
              <w:top w:val="nil"/>
              <w:left w:val="nil"/>
              <w:bottom w:val="nil"/>
            </w:tcBorders>
          </w:tcPr>
          <w:p w14:paraId="3A5F4015" w14:textId="727111FD" w:rsidR="00EC1479" w:rsidRPr="0095685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07F1A">
              <w:rPr>
                <w:rFonts w:ascii="Arial" w:hAnsi="Arial" w:cs="Arial"/>
                <w:color w:val="000000" w:themeColor="text1"/>
                <w:sz w:val="18"/>
                <w:szCs w:val="18"/>
              </w:rPr>
              <w:t>+</w:t>
            </w:r>
            <w:r w:rsidR="005B4D33">
              <w:rPr>
                <w:rFonts w:ascii="Arial" w:hAnsi="Arial" w:cs="Arial"/>
                <w:color w:val="000000" w:themeColor="text1"/>
                <w:sz w:val="18"/>
                <w:szCs w:val="18"/>
              </w:rPr>
              <w:t>5.4</w:t>
            </w:r>
            <w:r w:rsidRPr="00007F1A">
              <w:rPr>
                <w:rFonts w:ascii="Arial" w:hAnsi="Arial" w:cs="Arial"/>
                <w:color w:val="000000" w:themeColor="text1"/>
                <w:sz w:val="18"/>
                <w:szCs w:val="18"/>
              </w:rPr>
              <w:t>%</w:t>
            </w:r>
          </w:p>
        </w:tc>
      </w:tr>
      <w:tr w:rsidR="00EC1479" w:rsidRPr="00956854" w14:paraId="44E435DD"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55EE0F3" w14:textId="77777777" w:rsidR="00EC1479" w:rsidRPr="00956854" w:rsidRDefault="00EC1479" w:rsidP="00EC1479">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Deli meat</w:t>
            </w:r>
          </w:p>
        </w:tc>
        <w:tc>
          <w:tcPr>
            <w:tcW w:w="990" w:type="dxa"/>
            <w:gridSpan w:val="2"/>
            <w:tcBorders>
              <w:top w:val="nil"/>
              <w:bottom w:val="nil"/>
            </w:tcBorders>
            <w:shd w:val="clear" w:color="auto" w:fill="D9D9D9" w:themeFill="background1" w:themeFillShade="D9"/>
          </w:tcPr>
          <w:p w14:paraId="13E89E46" w14:textId="3D2D1185"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FF7C2B">
              <w:rPr>
                <w:rFonts w:ascii="Arial" w:hAnsi="Arial" w:cs="Arial"/>
                <w:color w:val="auto"/>
                <w:sz w:val="18"/>
                <w:szCs w:val="18"/>
              </w:rPr>
              <w:t>$</w:t>
            </w:r>
            <w:r w:rsidR="005B4D33">
              <w:rPr>
                <w:rFonts w:ascii="Arial" w:hAnsi="Arial" w:cs="Arial"/>
                <w:color w:val="auto"/>
                <w:sz w:val="18"/>
                <w:szCs w:val="18"/>
              </w:rPr>
              <w:t>678</w:t>
            </w:r>
            <w:r w:rsidRPr="00FF7C2B">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5E0CAEA8" w14:textId="74352D74" w:rsidR="00EC1479" w:rsidRPr="0095685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B4D33">
              <w:rPr>
                <w:rFonts w:ascii="Arial" w:hAnsi="Arial" w:cs="Arial"/>
                <w:color w:val="000000" w:themeColor="text1"/>
                <w:sz w:val="18"/>
                <w:szCs w:val="18"/>
              </w:rPr>
              <w:t>7.5</w:t>
            </w:r>
            <w:r>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vAlign w:val="center"/>
          </w:tcPr>
          <w:p w14:paraId="27954AF5" w14:textId="3EE84EF5" w:rsidR="00EC1479" w:rsidRPr="0095685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B4D33">
              <w:rPr>
                <w:rFonts w:ascii="Arial" w:hAnsi="Arial" w:cs="Arial"/>
                <w:color w:val="000000" w:themeColor="text1"/>
                <w:sz w:val="18"/>
                <w:szCs w:val="18"/>
              </w:rPr>
              <w:t>6.8</w:t>
            </w:r>
            <w:r w:rsidRPr="00ED61BB">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2569705F" w14:textId="77777777" w:rsidR="00EC1479" w:rsidRPr="00956854"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Deli meat</w:t>
            </w:r>
          </w:p>
        </w:tc>
        <w:tc>
          <w:tcPr>
            <w:tcW w:w="934" w:type="dxa"/>
            <w:tcBorders>
              <w:top w:val="nil"/>
              <w:bottom w:val="nil"/>
            </w:tcBorders>
            <w:shd w:val="clear" w:color="auto" w:fill="D9D9D9" w:themeFill="background1" w:themeFillShade="D9"/>
          </w:tcPr>
          <w:p w14:paraId="5908BE68" w14:textId="5531588D" w:rsidR="00EC1479" w:rsidRPr="0095685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590D">
              <w:rPr>
                <w:rFonts w:ascii="Arial" w:hAnsi="Arial" w:cs="Arial"/>
                <w:color w:val="auto"/>
                <w:sz w:val="18"/>
                <w:szCs w:val="18"/>
              </w:rPr>
              <w:t>$</w:t>
            </w:r>
            <w:r w:rsidR="005B4D33">
              <w:rPr>
                <w:rFonts w:ascii="Arial" w:hAnsi="Arial" w:cs="Arial"/>
                <w:color w:val="auto"/>
                <w:sz w:val="18"/>
                <w:szCs w:val="18"/>
              </w:rPr>
              <w:t>8.4</w:t>
            </w:r>
            <w:r w:rsidRPr="009F590D">
              <w:rPr>
                <w:rFonts w:ascii="Arial" w:hAnsi="Arial" w:cs="Arial"/>
                <w:color w:val="auto"/>
                <w:sz w:val="18"/>
                <w:szCs w:val="18"/>
              </w:rPr>
              <w:t>B</w:t>
            </w:r>
          </w:p>
        </w:tc>
        <w:tc>
          <w:tcPr>
            <w:tcW w:w="1333" w:type="dxa"/>
            <w:tcBorders>
              <w:top w:val="nil"/>
              <w:bottom w:val="nil"/>
            </w:tcBorders>
            <w:shd w:val="clear" w:color="auto" w:fill="D9D9D9" w:themeFill="background1" w:themeFillShade="D9"/>
          </w:tcPr>
          <w:p w14:paraId="3F7D8A13" w14:textId="598D0D13" w:rsidR="00EC1479" w:rsidRPr="0095685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F63A9">
              <w:rPr>
                <w:rFonts w:ascii="Arial" w:hAnsi="Arial" w:cs="Arial"/>
                <w:color w:val="000000" w:themeColor="text1"/>
                <w:sz w:val="18"/>
                <w:szCs w:val="18"/>
              </w:rPr>
              <w:t>-</w:t>
            </w:r>
            <w:r w:rsidR="005B4D33">
              <w:rPr>
                <w:rFonts w:ascii="Arial" w:hAnsi="Arial" w:cs="Arial"/>
                <w:color w:val="000000" w:themeColor="text1"/>
                <w:sz w:val="18"/>
                <w:szCs w:val="18"/>
              </w:rPr>
              <w:t>8.3</w:t>
            </w:r>
            <w:r w:rsidRPr="00EF63A9">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4E26E321" w14:textId="4FFBBF16" w:rsidR="00EC1479" w:rsidRPr="00956854"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F63A9">
              <w:rPr>
                <w:rFonts w:ascii="Arial" w:hAnsi="Arial" w:cs="Arial"/>
                <w:color w:val="000000" w:themeColor="text1"/>
                <w:sz w:val="18"/>
                <w:szCs w:val="18"/>
              </w:rPr>
              <w:t>-</w:t>
            </w:r>
            <w:r w:rsidR="005B4D33">
              <w:rPr>
                <w:rFonts w:ascii="Arial" w:hAnsi="Arial" w:cs="Arial"/>
                <w:color w:val="000000" w:themeColor="text1"/>
                <w:sz w:val="18"/>
                <w:szCs w:val="18"/>
              </w:rPr>
              <w:t>6.7</w:t>
            </w:r>
            <w:r w:rsidRPr="00EF63A9">
              <w:rPr>
                <w:rFonts w:ascii="Arial" w:hAnsi="Arial" w:cs="Arial"/>
                <w:color w:val="000000" w:themeColor="text1"/>
                <w:sz w:val="18"/>
                <w:szCs w:val="18"/>
              </w:rPr>
              <w:t>%</w:t>
            </w:r>
          </w:p>
        </w:tc>
      </w:tr>
      <w:tr w:rsidR="00EC1479" w:rsidRPr="00956854" w14:paraId="2275E43A"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01F34711" w14:textId="77777777" w:rsidR="00EC1479" w:rsidRPr="00956854" w:rsidRDefault="00EC1479" w:rsidP="00EC1479">
            <w:pPr>
              <w:pStyle w:val="NoSpacing"/>
              <w:rPr>
                <w:rFonts w:ascii="Arial" w:hAnsi="Arial" w:cs="Arial"/>
                <w:color w:val="000000" w:themeColor="text1"/>
                <w:sz w:val="18"/>
                <w:szCs w:val="18"/>
              </w:rPr>
            </w:pPr>
            <w:r w:rsidRPr="00956854">
              <w:rPr>
                <w:rFonts w:ascii="Arial" w:hAnsi="Arial" w:cs="Arial"/>
                <w:b w:val="0"/>
                <w:bCs w:val="0"/>
                <w:color w:val="000000" w:themeColor="text1"/>
                <w:sz w:val="18"/>
                <w:szCs w:val="18"/>
              </w:rPr>
              <w:t>Deli prepared</w:t>
            </w:r>
          </w:p>
        </w:tc>
        <w:tc>
          <w:tcPr>
            <w:tcW w:w="990" w:type="dxa"/>
            <w:gridSpan w:val="2"/>
            <w:tcBorders>
              <w:top w:val="nil"/>
              <w:bottom w:val="nil"/>
            </w:tcBorders>
            <w:vAlign w:val="center"/>
          </w:tcPr>
          <w:p w14:paraId="6CF9FA3D" w14:textId="38FE8100" w:rsidR="00EC1479" w:rsidRPr="0095685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B4D33">
              <w:rPr>
                <w:rFonts w:ascii="Arial" w:hAnsi="Arial" w:cs="Arial"/>
                <w:color w:val="000000" w:themeColor="text1"/>
                <w:sz w:val="18"/>
                <w:szCs w:val="18"/>
              </w:rPr>
              <w:t>2.5</w:t>
            </w:r>
            <w:r>
              <w:rPr>
                <w:rFonts w:ascii="Arial" w:hAnsi="Arial" w:cs="Arial"/>
                <w:color w:val="000000" w:themeColor="text1"/>
                <w:sz w:val="18"/>
                <w:szCs w:val="18"/>
              </w:rPr>
              <w:t>B</w:t>
            </w:r>
          </w:p>
        </w:tc>
        <w:tc>
          <w:tcPr>
            <w:tcW w:w="1075" w:type="dxa"/>
            <w:tcBorders>
              <w:top w:val="nil"/>
              <w:bottom w:val="nil"/>
            </w:tcBorders>
            <w:vAlign w:val="center"/>
          </w:tcPr>
          <w:p w14:paraId="4D01F6AA" w14:textId="0F846838" w:rsidR="00EC1479" w:rsidRPr="0095685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B4D33">
              <w:rPr>
                <w:rFonts w:ascii="Arial" w:hAnsi="Arial" w:cs="Arial"/>
                <w:color w:val="000000" w:themeColor="text1"/>
                <w:sz w:val="18"/>
                <w:szCs w:val="18"/>
              </w:rPr>
              <w:t>2.2</w:t>
            </w:r>
            <w:r>
              <w:rPr>
                <w:rFonts w:ascii="Arial" w:hAnsi="Arial" w:cs="Arial"/>
                <w:color w:val="000000" w:themeColor="text1"/>
                <w:sz w:val="18"/>
                <w:szCs w:val="18"/>
              </w:rPr>
              <w:t>%</w:t>
            </w:r>
          </w:p>
        </w:tc>
        <w:tc>
          <w:tcPr>
            <w:tcW w:w="1333" w:type="dxa"/>
            <w:tcBorders>
              <w:top w:val="nil"/>
              <w:bottom w:val="nil"/>
              <w:right w:val="single" w:sz="4" w:space="0" w:color="auto"/>
            </w:tcBorders>
            <w:vAlign w:val="center"/>
          </w:tcPr>
          <w:p w14:paraId="5F60B5F1" w14:textId="3F841F5F" w:rsidR="00EC1479" w:rsidRPr="0095685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D61BB">
              <w:rPr>
                <w:rFonts w:ascii="Arial" w:hAnsi="Arial" w:cs="Arial"/>
                <w:color w:val="000000" w:themeColor="text1"/>
                <w:sz w:val="18"/>
                <w:szCs w:val="18"/>
              </w:rPr>
              <w:t>+</w:t>
            </w:r>
            <w:r w:rsidR="005B4D33">
              <w:rPr>
                <w:rFonts w:ascii="Arial" w:hAnsi="Arial" w:cs="Arial"/>
                <w:color w:val="000000" w:themeColor="text1"/>
                <w:sz w:val="18"/>
                <w:szCs w:val="18"/>
              </w:rPr>
              <w:t>1.1</w:t>
            </w:r>
            <w:r w:rsidRPr="00ED61BB">
              <w:rPr>
                <w:rFonts w:ascii="Arial" w:hAnsi="Arial" w:cs="Arial"/>
                <w:color w:val="000000" w:themeColor="text1"/>
                <w:sz w:val="18"/>
                <w:szCs w:val="18"/>
              </w:rPr>
              <w:t>%</w:t>
            </w:r>
          </w:p>
        </w:tc>
        <w:tc>
          <w:tcPr>
            <w:tcW w:w="1732" w:type="dxa"/>
            <w:gridSpan w:val="2"/>
            <w:tcBorders>
              <w:top w:val="nil"/>
              <w:left w:val="single" w:sz="4" w:space="0" w:color="auto"/>
              <w:bottom w:val="nil"/>
            </w:tcBorders>
            <w:vAlign w:val="center"/>
          </w:tcPr>
          <w:p w14:paraId="1C30C4C1" w14:textId="77777777" w:rsidR="00EC1479" w:rsidRPr="00956854"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Deli prepared</w:t>
            </w:r>
          </w:p>
        </w:tc>
        <w:tc>
          <w:tcPr>
            <w:tcW w:w="934" w:type="dxa"/>
            <w:tcBorders>
              <w:top w:val="nil"/>
              <w:bottom w:val="nil"/>
            </w:tcBorders>
            <w:vAlign w:val="center"/>
          </w:tcPr>
          <w:p w14:paraId="15F8F0AA" w14:textId="4B29C460" w:rsidR="00EC1479" w:rsidRPr="0095685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64822">
              <w:rPr>
                <w:rFonts w:ascii="Arial" w:hAnsi="Arial" w:cs="Arial"/>
                <w:color w:val="auto"/>
                <w:sz w:val="18"/>
                <w:szCs w:val="18"/>
              </w:rPr>
              <w:t>$</w:t>
            </w:r>
            <w:r w:rsidR="005B4D33">
              <w:rPr>
                <w:rFonts w:ascii="Arial" w:hAnsi="Arial" w:cs="Arial"/>
                <w:color w:val="auto"/>
                <w:sz w:val="18"/>
                <w:szCs w:val="18"/>
              </w:rPr>
              <w:t>32.2</w:t>
            </w:r>
            <w:r w:rsidRPr="00A64822">
              <w:rPr>
                <w:rFonts w:ascii="Arial" w:hAnsi="Arial" w:cs="Arial"/>
                <w:color w:val="auto"/>
                <w:sz w:val="18"/>
                <w:szCs w:val="18"/>
              </w:rPr>
              <w:t>B</w:t>
            </w:r>
          </w:p>
        </w:tc>
        <w:tc>
          <w:tcPr>
            <w:tcW w:w="1333" w:type="dxa"/>
            <w:tcBorders>
              <w:top w:val="nil"/>
              <w:bottom w:val="nil"/>
            </w:tcBorders>
          </w:tcPr>
          <w:p w14:paraId="0A35675A" w14:textId="3CDB7DB5" w:rsidR="00EC1479" w:rsidRPr="0095685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A529E">
              <w:rPr>
                <w:rFonts w:ascii="Arial" w:hAnsi="Arial" w:cs="Arial"/>
                <w:color w:val="000000" w:themeColor="text1"/>
                <w:sz w:val="18"/>
                <w:szCs w:val="18"/>
              </w:rPr>
              <w:t>+</w:t>
            </w:r>
            <w:r w:rsidR="005B4D33">
              <w:rPr>
                <w:rFonts w:ascii="Arial" w:hAnsi="Arial" w:cs="Arial"/>
                <w:color w:val="000000" w:themeColor="text1"/>
                <w:sz w:val="18"/>
                <w:szCs w:val="18"/>
              </w:rPr>
              <w:t>5.0</w:t>
            </w:r>
            <w:r w:rsidRPr="00BA529E">
              <w:rPr>
                <w:rFonts w:ascii="Arial" w:hAnsi="Arial" w:cs="Arial"/>
                <w:color w:val="000000" w:themeColor="text1"/>
                <w:sz w:val="18"/>
                <w:szCs w:val="18"/>
              </w:rPr>
              <w:t>%</w:t>
            </w:r>
          </w:p>
        </w:tc>
        <w:tc>
          <w:tcPr>
            <w:tcW w:w="1333" w:type="dxa"/>
            <w:tcBorders>
              <w:top w:val="nil"/>
              <w:bottom w:val="nil"/>
            </w:tcBorders>
          </w:tcPr>
          <w:p w14:paraId="3DCAA703" w14:textId="4921716B" w:rsidR="00EC1479" w:rsidRPr="00956854"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A529E">
              <w:rPr>
                <w:rFonts w:ascii="Arial" w:hAnsi="Arial" w:cs="Arial"/>
                <w:color w:val="000000" w:themeColor="text1"/>
                <w:sz w:val="18"/>
                <w:szCs w:val="18"/>
              </w:rPr>
              <w:t>+</w:t>
            </w:r>
            <w:r w:rsidR="005B4D33">
              <w:rPr>
                <w:rFonts w:ascii="Arial" w:hAnsi="Arial" w:cs="Arial"/>
                <w:color w:val="000000" w:themeColor="text1"/>
                <w:sz w:val="18"/>
                <w:szCs w:val="18"/>
              </w:rPr>
              <w:t>4.1</w:t>
            </w:r>
            <w:r w:rsidRPr="00BA529E">
              <w:rPr>
                <w:rFonts w:ascii="Arial" w:hAnsi="Arial" w:cs="Arial"/>
                <w:color w:val="000000" w:themeColor="text1"/>
                <w:sz w:val="18"/>
                <w:szCs w:val="18"/>
              </w:rPr>
              <w:t>%</w:t>
            </w:r>
          </w:p>
        </w:tc>
      </w:tr>
    </w:tbl>
    <w:p w14:paraId="1FC13926" w14:textId="77777777" w:rsidR="00A03097" w:rsidRPr="00EC07EE" w:rsidRDefault="00A03097" w:rsidP="00A03097">
      <w:pPr>
        <w:rPr>
          <w:rFonts w:ascii="Arial" w:hAnsi="Arial" w:cs="Arial"/>
          <w:color w:val="7F7F7F" w:themeColor="text1" w:themeTint="80"/>
          <w:sz w:val="16"/>
          <w:szCs w:val="16"/>
        </w:rPr>
      </w:pPr>
      <w:r w:rsidRPr="00EC07EE">
        <w:rPr>
          <w:rFonts w:ascii="Arial" w:hAnsi="Arial" w:cs="Arial"/>
          <w:color w:val="7F7F7F" w:themeColor="text1" w:themeTint="80"/>
          <w:sz w:val="16"/>
          <w:szCs w:val="16"/>
        </w:rPr>
        <w:t xml:space="preserve">Source: </w:t>
      </w:r>
      <w:proofErr w:type="spellStart"/>
      <w:r w:rsidRPr="00EC07EE">
        <w:rPr>
          <w:rFonts w:ascii="Arial" w:hAnsi="Arial" w:cs="Arial"/>
          <w:color w:val="7F7F7F" w:themeColor="text1" w:themeTint="80"/>
          <w:sz w:val="16"/>
          <w:szCs w:val="16"/>
        </w:rPr>
        <w:t>Circana</w:t>
      </w:r>
      <w:proofErr w:type="spellEnd"/>
      <w:r w:rsidRPr="00EC07EE">
        <w:rPr>
          <w:rFonts w:ascii="Arial" w:hAnsi="Arial" w:cs="Arial"/>
          <w:color w:val="7F7F7F" w:themeColor="text1" w:themeTint="80"/>
          <w:sz w:val="16"/>
          <w:szCs w:val="16"/>
        </w:rPr>
        <w:t xml:space="preserve">, Total US, Integrated Fresh, </w:t>
      </w:r>
      <w:r>
        <w:rPr>
          <w:rFonts w:ascii="Arial" w:hAnsi="Arial" w:cs="Arial"/>
          <w:color w:val="7F7F7F" w:themeColor="text1" w:themeTint="80"/>
          <w:sz w:val="16"/>
          <w:szCs w:val="16"/>
        </w:rPr>
        <w:t>MULO+</w:t>
      </w:r>
      <w:r w:rsidRPr="00EC07EE">
        <w:rPr>
          <w:rFonts w:ascii="Arial" w:hAnsi="Arial" w:cs="Arial"/>
          <w:color w:val="7F7F7F" w:themeColor="text1" w:themeTint="80"/>
          <w:sz w:val="16"/>
          <w:szCs w:val="16"/>
        </w:rPr>
        <w:t>, % growth versus year ago</w:t>
      </w:r>
    </w:p>
    <w:p w14:paraId="49F09DEC" w14:textId="0BD188A8" w:rsidR="00A03097" w:rsidRPr="00EE1428" w:rsidRDefault="00A03097" w:rsidP="00A03097">
      <w:pPr>
        <w:pStyle w:val="NoSpacing"/>
        <w:rPr>
          <w:rFonts w:ascii="Arial" w:hAnsi="Arial" w:cs="Arial"/>
          <w:b/>
          <w:color w:val="595959" w:themeColor="text1" w:themeTint="A6"/>
          <w:sz w:val="20"/>
          <w:szCs w:val="20"/>
          <w:lang w:val="en-GB"/>
        </w:rPr>
      </w:pPr>
      <w:r w:rsidRPr="00EE1428">
        <w:rPr>
          <w:rFonts w:ascii="Arial" w:hAnsi="Arial" w:cs="Arial"/>
          <w:b/>
          <w:color w:val="595959" w:themeColor="text1" w:themeTint="A6"/>
          <w:sz w:val="20"/>
          <w:szCs w:val="20"/>
          <w:lang w:val="en-GB"/>
        </w:rPr>
        <w:t xml:space="preserve">Deli Meat </w:t>
      </w:r>
    </w:p>
    <w:p w14:paraId="2EE737F5" w14:textId="2B7D1156" w:rsidR="00A03097" w:rsidRDefault="00A03097" w:rsidP="00A03097">
      <w:pPr>
        <w:spacing w:after="0" w:line="240" w:lineRule="auto"/>
        <w:rPr>
          <w:rFonts w:ascii="Arial" w:hAnsi="Arial" w:cs="Arial"/>
          <w:sz w:val="20"/>
          <w:szCs w:val="20"/>
        </w:rPr>
      </w:pPr>
      <w:r>
        <w:rPr>
          <w:rFonts w:ascii="Arial" w:hAnsi="Arial" w:cs="Arial"/>
          <w:sz w:val="20"/>
          <w:szCs w:val="20"/>
          <w:lang w:val="en-GB"/>
        </w:rPr>
        <w:t>Deli meat sales continued to struggle in</w:t>
      </w:r>
      <w:r w:rsidR="005839D2">
        <w:rPr>
          <w:rFonts w:ascii="Arial" w:hAnsi="Arial" w:cs="Arial"/>
          <w:sz w:val="20"/>
          <w:szCs w:val="20"/>
          <w:lang w:val="en-GB"/>
        </w:rPr>
        <w:t xml:space="preserve"> </w:t>
      </w:r>
      <w:r w:rsidR="000A2703">
        <w:rPr>
          <w:rFonts w:ascii="Arial" w:hAnsi="Arial" w:cs="Arial"/>
          <w:sz w:val="20"/>
          <w:szCs w:val="20"/>
          <w:lang w:val="en-GB"/>
        </w:rPr>
        <w:t>June</w:t>
      </w:r>
      <w:r>
        <w:rPr>
          <w:rFonts w:ascii="Arial" w:hAnsi="Arial" w:cs="Arial"/>
          <w:sz w:val="20"/>
          <w:szCs w:val="20"/>
          <w:lang w:val="en-GB"/>
        </w:rPr>
        <w:t xml:space="preserve">. </w:t>
      </w:r>
      <w:r w:rsidR="00435FCB">
        <w:rPr>
          <w:rFonts w:ascii="Arial" w:hAnsi="Arial" w:cs="Arial"/>
          <w:sz w:val="20"/>
          <w:szCs w:val="20"/>
          <w:lang w:val="en-GB"/>
        </w:rPr>
        <w:t xml:space="preserve">Even </w:t>
      </w:r>
      <w:r>
        <w:rPr>
          <w:rFonts w:ascii="Arial" w:hAnsi="Arial" w:cs="Arial"/>
          <w:sz w:val="20"/>
          <w:szCs w:val="20"/>
          <w:lang w:val="en-GB"/>
        </w:rPr>
        <w:t>pre-sliced</w:t>
      </w:r>
      <w:r w:rsidR="00435FCB">
        <w:rPr>
          <w:rFonts w:ascii="Arial" w:hAnsi="Arial" w:cs="Arial"/>
          <w:sz w:val="20"/>
          <w:szCs w:val="20"/>
          <w:lang w:val="en-GB"/>
        </w:rPr>
        <w:t xml:space="preserve">, which had been an area of growth, fell short of last </w:t>
      </w:r>
      <w:r w:rsidR="000A2703">
        <w:rPr>
          <w:rFonts w:ascii="Arial" w:hAnsi="Arial" w:cs="Arial"/>
          <w:sz w:val="20"/>
          <w:szCs w:val="20"/>
          <w:lang w:val="en-GB"/>
        </w:rPr>
        <w:t>June</w:t>
      </w:r>
      <w:r w:rsidR="00435FCB">
        <w:rPr>
          <w:rFonts w:ascii="Arial" w:hAnsi="Arial" w:cs="Arial"/>
          <w:sz w:val="20"/>
          <w:szCs w:val="20"/>
          <w:lang w:val="en-GB"/>
        </w:rPr>
        <w:t xml:space="preserve">’s dollar and pound sales levels. </w:t>
      </w:r>
    </w:p>
    <w:p w14:paraId="775A87F2" w14:textId="77777777" w:rsidR="00A03097" w:rsidRPr="004A69CA" w:rsidRDefault="00A03097" w:rsidP="00A03097">
      <w:pPr>
        <w:pStyle w:val="NoSpacing"/>
        <w:rPr>
          <w:rFonts w:ascii="Arial" w:hAnsi="Arial" w:cs="Arial"/>
          <w:sz w:val="14"/>
          <w:szCs w:val="14"/>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34"/>
        <w:gridCol w:w="1333"/>
        <w:gridCol w:w="1333"/>
      </w:tblGrid>
      <w:tr w:rsidR="00A03097" w:rsidRPr="0003007F" w14:paraId="1185153F"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671E35DD" w14:textId="77777777" w:rsidR="00A03097" w:rsidRPr="00AB1306" w:rsidRDefault="00A03097" w:rsidP="000D0537">
            <w:pPr>
              <w:pStyle w:val="NoSpacing"/>
              <w:rPr>
                <w:rFonts w:ascii="Arial" w:hAnsi="Arial" w:cs="Arial"/>
                <w:color w:val="FFFFFF" w:themeColor="background1"/>
                <w:sz w:val="18"/>
                <w:szCs w:val="18"/>
              </w:rPr>
            </w:pPr>
          </w:p>
        </w:tc>
        <w:tc>
          <w:tcPr>
            <w:tcW w:w="3420" w:type="dxa"/>
            <w:gridSpan w:val="5"/>
            <w:tcBorders>
              <w:top w:val="nil"/>
              <w:bottom w:val="nil"/>
            </w:tcBorders>
            <w:shd w:val="clear" w:color="auto" w:fill="0F243E" w:themeFill="text2" w:themeFillShade="80"/>
          </w:tcPr>
          <w:p w14:paraId="0D054F4E" w14:textId="6C235CBC" w:rsidR="00A03097" w:rsidRPr="00AB1306" w:rsidRDefault="000A2703"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June</w:t>
            </w:r>
            <w:r w:rsidR="00401B3C">
              <w:rPr>
                <w:rFonts w:ascii="Arial" w:hAnsi="Arial" w:cs="Arial"/>
                <w:color w:val="FFFFFF" w:themeColor="background1"/>
                <w:sz w:val="18"/>
                <w:szCs w:val="18"/>
              </w:rPr>
              <w:t xml:space="preserve"> 2025</w:t>
            </w:r>
          </w:p>
        </w:tc>
        <w:tc>
          <w:tcPr>
            <w:tcW w:w="1710" w:type="dxa"/>
            <w:tcBorders>
              <w:top w:val="nil"/>
              <w:bottom w:val="nil"/>
            </w:tcBorders>
            <w:shd w:val="clear" w:color="auto" w:fill="0F243E" w:themeFill="text2" w:themeFillShade="80"/>
          </w:tcPr>
          <w:p w14:paraId="1FC02C05"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2A6576A3" w14:textId="3AD504B9" w:rsidR="00A03097" w:rsidRPr="0003007F" w:rsidRDefault="00A03097"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A03097" w:rsidRPr="002A3B9B" w14:paraId="42EC5369"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398CD70C"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Deli meat</w:t>
            </w:r>
          </w:p>
        </w:tc>
        <w:tc>
          <w:tcPr>
            <w:tcW w:w="900" w:type="dxa"/>
            <w:tcBorders>
              <w:top w:val="nil"/>
              <w:bottom w:val="nil"/>
            </w:tcBorders>
            <w:shd w:val="clear" w:color="auto" w:fill="0F243E" w:themeFill="text2" w:themeFillShade="80"/>
          </w:tcPr>
          <w:p w14:paraId="6B22B3EF"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gridSpan w:val="2"/>
            <w:tcBorders>
              <w:top w:val="nil"/>
              <w:bottom w:val="nil"/>
            </w:tcBorders>
            <w:shd w:val="clear" w:color="auto" w:fill="0F243E" w:themeFill="text2" w:themeFillShade="80"/>
          </w:tcPr>
          <w:p w14:paraId="2D5DCA17"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right w:val="single" w:sz="4" w:space="0" w:color="auto"/>
            </w:tcBorders>
            <w:shd w:val="clear" w:color="auto" w:fill="0F243E" w:themeFill="text2" w:themeFillShade="80"/>
          </w:tcPr>
          <w:p w14:paraId="021EAE59"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c>
          <w:tcPr>
            <w:tcW w:w="1732" w:type="dxa"/>
            <w:gridSpan w:val="2"/>
            <w:tcBorders>
              <w:top w:val="nil"/>
              <w:left w:val="single" w:sz="4" w:space="0" w:color="auto"/>
              <w:bottom w:val="nil"/>
            </w:tcBorders>
            <w:shd w:val="clear" w:color="auto" w:fill="0F243E" w:themeFill="text2" w:themeFillShade="80"/>
          </w:tcPr>
          <w:p w14:paraId="6E13459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74610FEA"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4AAC69FC"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536ACAA1"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r>
      <w:tr w:rsidR="00A03097" w:rsidRPr="00956854" w14:paraId="67F59D4C" w14:textId="77777777" w:rsidTr="00435FCB">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7F48C393" w14:textId="77777777" w:rsidR="00A03097" w:rsidRPr="00633C54" w:rsidRDefault="00A03097" w:rsidP="000D0537">
            <w:pPr>
              <w:pStyle w:val="NoSpacing"/>
              <w:rPr>
                <w:rFonts w:ascii="Arial" w:hAnsi="Arial" w:cs="Arial"/>
                <w:color w:val="000000" w:themeColor="text1"/>
                <w:sz w:val="18"/>
                <w:szCs w:val="18"/>
              </w:rPr>
            </w:pPr>
            <w:r w:rsidRPr="00633C54">
              <w:rPr>
                <w:rFonts w:ascii="Arial" w:hAnsi="Arial" w:cs="Arial"/>
                <w:color w:val="000000" w:themeColor="text1"/>
                <w:sz w:val="18"/>
                <w:szCs w:val="18"/>
              </w:rPr>
              <w:t>Total deli meat</w:t>
            </w:r>
          </w:p>
        </w:tc>
        <w:tc>
          <w:tcPr>
            <w:tcW w:w="990" w:type="dxa"/>
            <w:gridSpan w:val="2"/>
            <w:tcBorders>
              <w:top w:val="nil"/>
              <w:left w:val="nil"/>
              <w:bottom w:val="nil"/>
              <w:right w:val="nil"/>
            </w:tcBorders>
            <w:vAlign w:val="center"/>
          </w:tcPr>
          <w:p w14:paraId="2583D5D7" w14:textId="383BEBB4" w:rsidR="00A03097" w:rsidRPr="00633C54" w:rsidRDefault="000D0537"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5B4D33">
              <w:rPr>
                <w:rFonts w:ascii="Arial" w:hAnsi="Arial" w:cs="Arial"/>
                <w:b/>
                <w:bCs/>
                <w:color w:val="000000" w:themeColor="text1"/>
                <w:sz w:val="18"/>
                <w:szCs w:val="18"/>
              </w:rPr>
              <w:t>678</w:t>
            </w:r>
            <w:r w:rsidR="00A03097">
              <w:rPr>
                <w:rFonts w:ascii="Arial" w:hAnsi="Arial" w:cs="Arial"/>
                <w:b/>
                <w:bCs/>
                <w:color w:val="000000" w:themeColor="text1"/>
                <w:sz w:val="18"/>
                <w:szCs w:val="18"/>
              </w:rPr>
              <w:t>M</w:t>
            </w:r>
          </w:p>
        </w:tc>
        <w:tc>
          <w:tcPr>
            <w:tcW w:w="1075" w:type="dxa"/>
            <w:tcBorders>
              <w:top w:val="nil"/>
              <w:left w:val="nil"/>
              <w:bottom w:val="nil"/>
              <w:right w:val="nil"/>
            </w:tcBorders>
            <w:vAlign w:val="center"/>
          </w:tcPr>
          <w:p w14:paraId="4DAF6143" w14:textId="10E110CE" w:rsidR="00A03097" w:rsidRPr="00633C54" w:rsidRDefault="008719A3"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5B4D33">
              <w:rPr>
                <w:rFonts w:ascii="Arial" w:hAnsi="Arial" w:cs="Arial"/>
                <w:b/>
                <w:bCs/>
                <w:color w:val="000000" w:themeColor="text1"/>
                <w:sz w:val="18"/>
                <w:szCs w:val="18"/>
              </w:rPr>
              <w:t>7.5</w:t>
            </w:r>
            <w:r w:rsidR="00A03097">
              <w:rPr>
                <w:rFonts w:ascii="Arial" w:hAnsi="Arial" w:cs="Arial"/>
                <w:b/>
                <w:bCs/>
                <w:color w:val="000000" w:themeColor="text1"/>
                <w:sz w:val="18"/>
                <w:szCs w:val="18"/>
              </w:rPr>
              <w:t>%</w:t>
            </w:r>
          </w:p>
        </w:tc>
        <w:tc>
          <w:tcPr>
            <w:tcW w:w="1333" w:type="dxa"/>
            <w:tcBorders>
              <w:top w:val="nil"/>
              <w:left w:val="nil"/>
              <w:bottom w:val="nil"/>
              <w:right w:val="single" w:sz="4" w:space="0" w:color="auto"/>
            </w:tcBorders>
            <w:vAlign w:val="center"/>
          </w:tcPr>
          <w:p w14:paraId="5C331E1B" w14:textId="04327B08" w:rsidR="00A03097" w:rsidRPr="00633C54" w:rsidRDefault="000D0537"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C75084">
              <w:rPr>
                <w:rFonts w:ascii="Arial" w:hAnsi="Arial" w:cs="Arial"/>
                <w:b/>
                <w:bCs/>
                <w:color w:val="000000" w:themeColor="text1"/>
                <w:sz w:val="18"/>
                <w:szCs w:val="18"/>
              </w:rPr>
              <w:t>7.7</w:t>
            </w:r>
            <w:r w:rsidR="00A03097">
              <w:rPr>
                <w:rFonts w:ascii="Arial" w:hAnsi="Arial" w:cs="Arial"/>
                <w:b/>
                <w:bCs/>
                <w:color w:val="000000" w:themeColor="text1"/>
                <w:sz w:val="18"/>
                <w:szCs w:val="18"/>
              </w:rPr>
              <w:t>%</w:t>
            </w:r>
          </w:p>
        </w:tc>
        <w:tc>
          <w:tcPr>
            <w:tcW w:w="1732" w:type="dxa"/>
            <w:gridSpan w:val="2"/>
            <w:tcBorders>
              <w:top w:val="nil"/>
              <w:left w:val="single" w:sz="4" w:space="0" w:color="auto"/>
              <w:bottom w:val="nil"/>
              <w:right w:val="nil"/>
            </w:tcBorders>
            <w:vAlign w:val="center"/>
          </w:tcPr>
          <w:p w14:paraId="3016D8B0" w14:textId="77777777" w:rsidR="00A03097" w:rsidRPr="00633C54" w:rsidRDefault="00A03097" w:rsidP="000D053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33C54">
              <w:rPr>
                <w:rFonts w:ascii="Arial" w:hAnsi="Arial" w:cs="Arial"/>
                <w:b/>
                <w:bCs/>
                <w:color w:val="000000" w:themeColor="text1"/>
                <w:sz w:val="18"/>
                <w:szCs w:val="18"/>
              </w:rPr>
              <w:t>Deli meat</w:t>
            </w:r>
          </w:p>
        </w:tc>
        <w:tc>
          <w:tcPr>
            <w:tcW w:w="934" w:type="dxa"/>
            <w:tcBorders>
              <w:top w:val="nil"/>
              <w:left w:val="nil"/>
              <w:bottom w:val="nil"/>
              <w:right w:val="nil"/>
            </w:tcBorders>
            <w:vAlign w:val="center"/>
          </w:tcPr>
          <w:p w14:paraId="77839A79" w14:textId="2BBD5DFF" w:rsidR="00A03097" w:rsidRPr="00633C54" w:rsidRDefault="000D0537"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auto"/>
                <w:sz w:val="18"/>
                <w:szCs w:val="18"/>
              </w:rPr>
              <w:t>$</w:t>
            </w:r>
            <w:r w:rsidR="005B4D33">
              <w:rPr>
                <w:rFonts w:ascii="Arial" w:hAnsi="Arial" w:cs="Arial"/>
                <w:b/>
                <w:bCs/>
                <w:color w:val="auto"/>
                <w:sz w:val="18"/>
                <w:szCs w:val="18"/>
              </w:rPr>
              <w:t>8.4</w:t>
            </w:r>
            <w:r w:rsidR="00A03097" w:rsidRPr="00633C54">
              <w:rPr>
                <w:rFonts w:ascii="Arial" w:hAnsi="Arial" w:cs="Arial"/>
                <w:b/>
                <w:bCs/>
                <w:color w:val="auto"/>
                <w:sz w:val="18"/>
                <w:szCs w:val="18"/>
              </w:rPr>
              <w:t>B</w:t>
            </w:r>
          </w:p>
        </w:tc>
        <w:tc>
          <w:tcPr>
            <w:tcW w:w="1333" w:type="dxa"/>
            <w:tcBorders>
              <w:top w:val="nil"/>
              <w:left w:val="nil"/>
              <w:bottom w:val="nil"/>
              <w:right w:val="nil"/>
            </w:tcBorders>
            <w:vAlign w:val="center"/>
          </w:tcPr>
          <w:p w14:paraId="0EC9F930" w14:textId="01D68D99" w:rsidR="00A03097" w:rsidRPr="00633C54" w:rsidRDefault="000D0537"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5B4D33">
              <w:rPr>
                <w:rFonts w:ascii="Arial" w:hAnsi="Arial" w:cs="Arial"/>
                <w:b/>
                <w:bCs/>
                <w:color w:val="000000" w:themeColor="text1"/>
                <w:sz w:val="18"/>
                <w:szCs w:val="18"/>
              </w:rPr>
              <w:t>8.3</w:t>
            </w:r>
            <w:r w:rsidR="00A03097" w:rsidRPr="00633C54">
              <w:rPr>
                <w:rFonts w:ascii="Arial" w:hAnsi="Arial" w:cs="Arial"/>
                <w:b/>
                <w:bCs/>
                <w:color w:val="000000" w:themeColor="text1"/>
                <w:sz w:val="18"/>
                <w:szCs w:val="18"/>
              </w:rPr>
              <w:t>%</w:t>
            </w:r>
          </w:p>
        </w:tc>
        <w:tc>
          <w:tcPr>
            <w:tcW w:w="1333" w:type="dxa"/>
            <w:tcBorders>
              <w:top w:val="nil"/>
              <w:left w:val="nil"/>
              <w:bottom w:val="nil"/>
            </w:tcBorders>
            <w:vAlign w:val="center"/>
          </w:tcPr>
          <w:p w14:paraId="75696932" w14:textId="5AB58E6F" w:rsidR="00A03097" w:rsidRPr="00633C54" w:rsidRDefault="00A03097"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633C54">
              <w:rPr>
                <w:rFonts w:ascii="Arial" w:hAnsi="Arial" w:cs="Arial"/>
                <w:b/>
                <w:bCs/>
                <w:color w:val="auto"/>
                <w:sz w:val="18"/>
                <w:szCs w:val="18"/>
              </w:rPr>
              <w:t>-</w:t>
            </w:r>
            <w:r w:rsidR="005B4D33">
              <w:rPr>
                <w:rFonts w:ascii="Arial" w:hAnsi="Arial" w:cs="Arial"/>
                <w:b/>
                <w:bCs/>
                <w:color w:val="auto"/>
                <w:sz w:val="18"/>
                <w:szCs w:val="18"/>
              </w:rPr>
              <w:t>6.7</w:t>
            </w:r>
            <w:r w:rsidRPr="00633C54">
              <w:rPr>
                <w:rFonts w:ascii="Arial" w:hAnsi="Arial" w:cs="Arial"/>
                <w:b/>
                <w:bCs/>
                <w:color w:val="auto"/>
                <w:sz w:val="18"/>
                <w:szCs w:val="18"/>
              </w:rPr>
              <w:t>%</w:t>
            </w:r>
          </w:p>
        </w:tc>
      </w:tr>
      <w:tr w:rsidR="00EC1479" w:rsidRPr="00956854" w14:paraId="1BC702AA"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4A04972" w14:textId="77777777" w:rsidR="00EC1479" w:rsidRPr="00956854" w:rsidRDefault="00EC1479" w:rsidP="00EC1479">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Grab &amp; go</w:t>
            </w:r>
          </w:p>
        </w:tc>
        <w:tc>
          <w:tcPr>
            <w:tcW w:w="990" w:type="dxa"/>
            <w:gridSpan w:val="2"/>
            <w:tcBorders>
              <w:top w:val="nil"/>
              <w:bottom w:val="nil"/>
            </w:tcBorders>
            <w:shd w:val="clear" w:color="auto" w:fill="D9D9D9" w:themeFill="background1" w:themeFillShade="D9"/>
          </w:tcPr>
          <w:p w14:paraId="242E7647" w14:textId="4748440B"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BF6271">
              <w:rPr>
                <w:rFonts w:ascii="Arial" w:hAnsi="Arial" w:cs="Arial"/>
                <w:color w:val="auto"/>
                <w:sz w:val="18"/>
                <w:szCs w:val="18"/>
              </w:rPr>
              <w:t>$</w:t>
            </w:r>
            <w:r w:rsidR="005B4D33">
              <w:rPr>
                <w:rFonts w:ascii="Arial" w:hAnsi="Arial" w:cs="Arial"/>
                <w:color w:val="auto"/>
                <w:sz w:val="18"/>
                <w:szCs w:val="18"/>
              </w:rPr>
              <w:t>209</w:t>
            </w:r>
            <w:r w:rsidRPr="00BF6271">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257C4FCC" w14:textId="020D6338" w:rsidR="00EC1479" w:rsidRPr="006D637C"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6276E">
              <w:rPr>
                <w:rFonts w:ascii="Arial" w:hAnsi="Arial" w:cs="Arial"/>
                <w:color w:val="000000" w:themeColor="text1"/>
                <w:sz w:val="18"/>
                <w:szCs w:val="18"/>
              </w:rPr>
              <w:t>-</w:t>
            </w:r>
            <w:r w:rsidR="005B4D33">
              <w:rPr>
                <w:rFonts w:ascii="Arial" w:hAnsi="Arial" w:cs="Arial"/>
                <w:color w:val="000000" w:themeColor="text1"/>
                <w:sz w:val="18"/>
                <w:szCs w:val="18"/>
              </w:rPr>
              <w:t>5.2</w:t>
            </w:r>
            <w:r w:rsidRPr="0076276E">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tcPr>
          <w:p w14:paraId="2D0DFBF5" w14:textId="033DCEFD" w:rsidR="00EC1479" w:rsidRPr="006D637C"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6276E">
              <w:rPr>
                <w:rFonts w:ascii="Arial" w:hAnsi="Arial" w:cs="Arial"/>
                <w:color w:val="000000" w:themeColor="text1"/>
                <w:sz w:val="18"/>
                <w:szCs w:val="18"/>
              </w:rPr>
              <w:t>-</w:t>
            </w:r>
            <w:r w:rsidR="00C75084">
              <w:rPr>
                <w:rFonts w:ascii="Arial" w:hAnsi="Arial" w:cs="Arial"/>
                <w:color w:val="000000" w:themeColor="text1"/>
                <w:sz w:val="18"/>
                <w:szCs w:val="18"/>
              </w:rPr>
              <w:t>3.9</w:t>
            </w:r>
            <w:r w:rsidRPr="0076276E">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0C87BE59" w14:textId="77777777" w:rsidR="00EC1479" w:rsidRPr="00956854"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Grab &amp; go</w:t>
            </w:r>
          </w:p>
        </w:tc>
        <w:tc>
          <w:tcPr>
            <w:tcW w:w="934" w:type="dxa"/>
            <w:tcBorders>
              <w:top w:val="nil"/>
              <w:bottom w:val="nil"/>
            </w:tcBorders>
            <w:shd w:val="clear" w:color="auto" w:fill="D9D9D9" w:themeFill="background1" w:themeFillShade="D9"/>
            <w:vAlign w:val="center"/>
          </w:tcPr>
          <w:p w14:paraId="4E9E15BA" w14:textId="1B23DC2E" w:rsidR="00EC1479" w:rsidRPr="006D637C"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7DE9">
              <w:rPr>
                <w:rFonts w:ascii="Arial" w:hAnsi="Arial" w:cs="Arial"/>
                <w:color w:val="auto"/>
                <w:sz w:val="18"/>
                <w:szCs w:val="18"/>
              </w:rPr>
              <w:t>$</w:t>
            </w:r>
            <w:r w:rsidR="005B4D33">
              <w:rPr>
                <w:rFonts w:ascii="Arial" w:hAnsi="Arial" w:cs="Arial"/>
                <w:color w:val="auto"/>
                <w:sz w:val="18"/>
                <w:szCs w:val="18"/>
              </w:rPr>
              <w:t>2.5</w:t>
            </w:r>
            <w:r w:rsidRPr="00D57DE9">
              <w:rPr>
                <w:rFonts w:ascii="Arial" w:hAnsi="Arial" w:cs="Arial"/>
                <w:color w:val="auto"/>
                <w:sz w:val="18"/>
                <w:szCs w:val="18"/>
              </w:rPr>
              <w:t>B</w:t>
            </w:r>
          </w:p>
        </w:tc>
        <w:tc>
          <w:tcPr>
            <w:tcW w:w="1333" w:type="dxa"/>
            <w:tcBorders>
              <w:top w:val="nil"/>
              <w:bottom w:val="nil"/>
            </w:tcBorders>
            <w:shd w:val="clear" w:color="auto" w:fill="D9D9D9" w:themeFill="background1" w:themeFillShade="D9"/>
          </w:tcPr>
          <w:p w14:paraId="21B45FA8" w14:textId="7F223689" w:rsidR="00EC1479" w:rsidRPr="006D637C"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1F799E">
              <w:rPr>
                <w:rFonts w:ascii="Arial" w:hAnsi="Arial" w:cs="Arial"/>
                <w:color w:val="000000" w:themeColor="text1"/>
                <w:sz w:val="18"/>
                <w:szCs w:val="18"/>
              </w:rPr>
              <w:t>-</w:t>
            </w:r>
            <w:r w:rsidR="005B4D33">
              <w:rPr>
                <w:rFonts w:ascii="Arial" w:hAnsi="Arial" w:cs="Arial"/>
                <w:color w:val="000000" w:themeColor="text1"/>
                <w:sz w:val="18"/>
                <w:szCs w:val="18"/>
              </w:rPr>
              <w:t>6.1</w:t>
            </w:r>
            <w:r w:rsidRPr="001F799E">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1FC676C4" w14:textId="42CD25F8" w:rsidR="00EC1479" w:rsidRPr="006D637C"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1F799E">
              <w:rPr>
                <w:rFonts w:ascii="Arial" w:hAnsi="Arial" w:cs="Arial"/>
                <w:color w:val="000000" w:themeColor="text1"/>
                <w:sz w:val="18"/>
                <w:szCs w:val="18"/>
              </w:rPr>
              <w:t>-</w:t>
            </w:r>
            <w:r w:rsidR="00C75084">
              <w:rPr>
                <w:rFonts w:ascii="Arial" w:hAnsi="Arial" w:cs="Arial"/>
                <w:color w:val="000000" w:themeColor="text1"/>
                <w:sz w:val="18"/>
                <w:szCs w:val="18"/>
              </w:rPr>
              <w:t>4.4</w:t>
            </w:r>
            <w:r w:rsidRPr="001F799E">
              <w:rPr>
                <w:rFonts w:ascii="Arial" w:hAnsi="Arial" w:cs="Arial"/>
                <w:color w:val="000000" w:themeColor="text1"/>
                <w:sz w:val="18"/>
                <w:szCs w:val="18"/>
              </w:rPr>
              <w:t>%</w:t>
            </w:r>
          </w:p>
        </w:tc>
      </w:tr>
      <w:tr w:rsidR="00EC1479" w:rsidRPr="00956854" w14:paraId="19D3B31B"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3CBDF5D8" w14:textId="77777777" w:rsidR="00EC1479" w:rsidRPr="00956854" w:rsidRDefault="00EC1479" w:rsidP="00EC1479">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Pre-sliced</w:t>
            </w:r>
          </w:p>
        </w:tc>
        <w:tc>
          <w:tcPr>
            <w:tcW w:w="990" w:type="dxa"/>
            <w:gridSpan w:val="2"/>
            <w:tcBorders>
              <w:top w:val="nil"/>
              <w:left w:val="nil"/>
              <w:bottom w:val="nil"/>
              <w:right w:val="nil"/>
            </w:tcBorders>
          </w:tcPr>
          <w:p w14:paraId="5E8D4140" w14:textId="506BB812"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BF6271">
              <w:rPr>
                <w:rFonts w:ascii="Arial" w:hAnsi="Arial" w:cs="Arial"/>
                <w:color w:val="auto"/>
                <w:sz w:val="18"/>
                <w:szCs w:val="18"/>
              </w:rPr>
              <w:t>$</w:t>
            </w:r>
            <w:r w:rsidR="005B4D33">
              <w:rPr>
                <w:rFonts w:ascii="Arial" w:hAnsi="Arial" w:cs="Arial"/>
                <w:color w:val="auto"/>
                <w:sz w:val="18"/>
                <w:szCs w:val="18"/>
              </w:rPr>
              <w:t>126</w:t>
            </w:r>
            <w:r w:rsidRPr="00BF6271">
              <w:rPr>
                <w:rFonts w:ascii="Arial" w:hAnsi="Arial" w:cs="Arial"/>
                <w:color w:val="auto"/>
                <w:sz w:val="18"/>
                <w:szCs w:val="18"/>
              </w:rPr>
              <w:t>M</w:t>
            </w:r>
          </w:p>
        </w:tc>
        <w:tc>
          <w:tcPr>
            <w:tcW w:w="1075" w:type="dxa"/>
            <w:tcBorders>
              <w:top w:val="nil"/>
              <w:left w:val="nil"/>
              <w:bottom w:val="nil"/>
              <w:right w:val="nil"/>
            </w:tcBorders>
          </w:tcPr>
          <w:p w14:paraId="6C0D0FA9" w14:textId="5B4EC623" w:rsidR="00EC1479" w:rsidRPr="006D637C"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6276E">
              <w:rPr>
                <w:rFonts w:ascii="Arial" w:hAnsi="Arial" w:cs="Arial"/>
                <w:color w:val="000000" w:themeColor="text1"/>
                <w:sz w:val="18"/>
                <w:szCs w:val="18"/>
              </w:rPr>
              <w:t>-</w:t>
            </w:r>
            <w:r w:rsidR="005B4D33">
              <w:rPr>
                <w:rFonts w:ascii="Arial" w:hAnsi="Arial" w:cs="Arial"/>
                <w:color w:val="000000" w:themeColor="text1"/>
                <w:sz w:val="18"/>
                <w:szCs w:val="18"/>
              </w:rPr>
              <w:t>1.3</w:t>
            </w:r>
            <w:r w:rsidRPr="0076276E">
              <w:rPr>
                <w:rFonts w:ascii="Arial" w:hAnsi="Arial" w:cs="Arial"/>
                <w:color w:val="000000" w:themeColor="text1"/>
                <w:sz w:val="18"/>
                <w:szCs w:val="18"/>
              </w:rPr>
              <w:t>%</w:t>
            </w:r>
          </w:p>
        </w:tc>
        <w:tc>
          <w:tcPr>
            <w:tcW w:w="1333" w:type="dxa"/>
            <w:tcBorders>
              <w:top w:val="nil"/>
              <w:left w:val="nil"/>
              <w:bottom w:val="nil"/>
              <w:right w:val="single" w:sz="4" w:space="0" w:color="auto"/>
            </w:tcBorders>
          </w:tcPr>
          <w:p w14:paraId="4C1EB750" w14:textId="74461905" w:rsidR="00EC1479" w:rsidRPr="006D637C"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76276E">
              <w:rPr>
                <w:rFonts w:ascii="Arial" w:hAnsi="Arial" w:cs="Arial"/>
                <w:color w:val="000000" w:themeColor="text1"/>
                <w:sz w:val="18"/>
                <w:szCs w:val="18"/>
              </w:rPr>
              <w:t>-</w:t>
            </w:r>
            <w:r w:rsidR="00C75084">
              <w:rPr>
                <w:rFonts w:ascii="Arial" w:hAnsi="Arial" w:cs="Arial"/>
                <w:color w:val="000000" w:themeColor="text1"/>
                <w:sz w:val="18"/>
                <w:szCs w:val="18"/>
              </w:rPr>
              <w:t>1.5</w:t>
            </w:r>
            <w:r w:rsidRPr="0076276E">
              <w:rPr>
                <w:rFonts w:ascii="Arial" w:hAnsi="Arial" w:cs="Arial"/>
                <w:color w:val="000000" w:themeColor="text1"/>
                <w:sz w:val="18"/>
                <w:szCs w:val="18"/>
              </w:rPr>
              <w:t>%</w:t>
            </w:r>
          </w:p>
        </w:tc>
        <w:tc>
          <w:tcPr>
            <w:tcW w:w="1732" w:type="dxa"/>
            <w:gridSpan w:val="2"/>
            <w:tcBorders>
              <w:top w:val="nil"/>
              <w:left w:val="single" w:sz="4" w:space="0" w:color="auto"/>
              <w:bottom w:val="nil"/>
              <w:right w:val="nil"/>
            </w:tcBorders>
            <w:vAlign w:val="center"/>
          </w:tcPr>
          <w:p w14:paraId="516B47B6" w14:textId="77777777" w:rsidR="00EC1479" w:rsidRPr="00956854"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Pre-sliced</w:t>
            </w:r>
          </w:p>
        </w:tc>
        <w:tc>
          <w:tcPr>
            <w:tcW w:w="934" w:type="dxa"/>
            <w:tcBorders>
              <w:top w:val="nil"/>
              <w:left w:val="nil"/>
              <w:bottom w:val="nil"/>
              <w:right w:val="nil"/>
            </w:tcBorders>
            <w:vAlign w:val="center"/>
          </w:tcPr>
          <w:p w14:paraId="1BAAEE2E" w14:textId="2985E01A" w:rsidR="00EC1479" w:rsidRPr="006D637C"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57DE9">
              <w:rPr>
                <w:rFonts w:ascii="Arial" w:hAnsi="Arial" w:cs="Arial"/>
                <w:color w:val="auto"/>
                <w:sz w:val="18"/>
                <w:szCs w:val="18"/>
              </w:rPr>
              <w:t>$</w:t>
            </w:r>
            <w:r w:rsidR="005B4D33">
              <w:rPr>
                <w:rFonts w:ascii="Arial" w:hAnsi="Arial" w:cs="Arial"/>
                <w:color w:val="auto"/>
                <w:sz w:val="18"/>
                <w:szCs w:val="18"/>
              </w:rPr>
              <w:t>1.7</w:t>
            </w:r>
            <w:r w:rsidRPr="00D57DE9">
              <w:rPr>
                <w:rFonts w:ascii="Arial" w:hAnsi="Arial" w:cs="Arial"/>
                <w:color w:val="auto"/>
                <w:sz w:val="18"/>
                <w:szCs w:val="18"/>
              </w:rPr>
              <w:t>B</w:t>
            </w:r>
          </w:p>
        </w:tc>
        <w:tc>
          <w:tcPr>
            <w:tcW w:w="1333" w:type="dxa"/>
            <w:tcBorders>
              <w:top w:val="nil"/>
              <w:left w:val="nil"/>
              <w:bottom w:val="nil"/>
              <w:right w:val="nil"/>
            </w:tcBorders>
            <w:vAlign w:val="center"/>
          </w:tcPr>
          <w:p w14:paraId="0780251E" w14:textId="024EF8F8" w:rsidR="00EC1479" w:rsidRPr="006D637C"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1C6671">
              <w:rPr>
                <w:rFonts w:ascii="Arial" w:hAnsi="Arial" w:cs="Arial"/>
                <w:color w:val="000000" w:themeColor="text1"/>
                <w:sz w:val="18"/>
                <w:szCs w:val="18"/>
              </w:rPr>
              <w:t>+</w:t>
            </w:r>
            <w:r w:rsidR="005B4D33">
              <w:rPr>
                <w:rFonts w:ascii="Arial" w:hAnsi="Arial" w:cs="Arial"/>
                <w:color w:val="000000" w:themeColor="text1"/>
                <w:sz w:val="18"/>
                <w:szCs w:val="18"/>
              </w:rPr>
              <w:t>2.4</w:t>
            </w:r>
            <w:r w:rsidRPr="001C6671">
              <w:rPr>
                <w:rFonts w:ascii="Arial" w:hAnsi="Arial" w:cs="Arial"/>
                <w:color w:val="000000" w:themeColor="text1"/>
                <w:sz w:val="18"/>
                <w:szCs w:val="18"/>
              </w:rPr>
              <w:t>%</w:t>
            </w:r>
          </w:p>
        </w:tc>
        <w:tc>
          <w:tcPr>
            <w:tcW w:w="1333" w:type="dxa"/>
            <w:tcBorders>
              <w:top w:val="nil"/>
              <w:left w:val="nil"/>
              <w:bottom w:val="nil"/>
            </w:tcBorders>
            <w:vAlign w:val="center"/>
          </w:tcPr>
          <w:p w14:paraId="5A1CB189" w14:textId="5949C729" w:rsidR="00EC1479" w:rsidRPr="006D637C"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1C6671">
              <w:rPr>
                <w:rFonts w:ascii="Arial" w:hAnsi="Arial" w:cs="Arial"/>
                <w:color w:val="000000" w:themeColor="text1"/>
                <w:sz w:val="18"/>
                <w:szCs w:val="18"/>
              </w:rPr>
              <w:t>+</w:t>
            </w:r>
            <w:r w:rsidR="00C75084">
              <w:rPr>
                <w:rFonts w:ascii="Arial" w:hAnsi="Arial" w:cs="Arial"/>
                <w:color w:val="000000" w:themeColor="text1"/>
                <w:sz w:val="18"/>
                <w:szCs w:val="18"/>
              </w:rPr>
              <w:t>5.2</w:t>
            </w:r>
            <w:r w:rsidRPr="001C6671">
              <w:rPr>
                <w:rFonts w:ascii="Arial" w:hAnsi="Arial" w:cs="Arial"/>
                <w:color w:val="000000" w:themeColor="text1"/>
                <w:sz w:val="18"/>
                <w:szCs w:val="18"/>
              </w:rPr>
              <w:t>%</w:t>
            </w:r>
          </w:p>
        </w:tc>
      </w:tr>
      <w:tr w:rsidR="00EC1479" w:rsidRPr="00956854" w14:paraId="01A58D44"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98AE095" w14:textId="77777777" w:rsidR="00EC1479" w:rsidRPr="00956854" w:rsidRDefault="00EC1479" w:rsidP="00EC1479">
            <w:pPr>
              <w:pStyle w:val="NoSpacing"/>
              <w:rPr>
                <w:rFonts w:ascii="Arial" w:hAnsi="Arial" w:cs="Arial"/>
                <w:b w:val="0"/>
                <w:bCs w:val="0"/>
                <w:color w:val="000000" w:themeColor="text1"/>
                <w:sz w:val="18"/>
                <w:szCs w:val="18"/>
              </w:rPr>
            </w:pPr>
            <w:r w:rsidRPr="00956854">
              <w:rPr>
                <w:rFonts w:ascii="Arial" w:hAnsi="Arial" w:cs="Arial"/>
                <w:b w:val="0"/>
                <w:bCs w:val="0"/>
                <w:color w:val="000000" w:themeColor="text1"/>
                <w:sz w:val="18"/>
                <w:szCs w:val="18"/>
              </w:rPr>
              <w:t>Service</w:t>
            </w:r>
          </w:p>
        </w:tc>
        <w:tc>
          <w:tcPr>
            <w:tcW w:w="990" w:type="dxa"/>
            <w:gridSpan w:val="2"/>
            <w:tcBorders>
              <w:top w:val="nil"/>
              <w:bottom w:val="nil"/>
            </w:tcBorders>
            <w:shd w:val="clear" w:color="auto" w:fill="D9D9D9" w:themeFill="background1" w:themeFillShade="D9"/>
          </w:tcPr>
          <w:p w14:paraId="0FD6A2CD" w14:textId="30673FD9"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BF6271">
              <w:rPr>
                <w:rFonts w:ascii="Arial" w:hAnsi="Arial" w:cs="Arial"/>
                <w:color w:val="auto"/>
                <w:sz w:val="18"/>
                <w:szCs w:val="18"/>
              </w:rPr>
              <w:t>$</w:t>
            </w:r>
            <w:r w:rsidR="005B4D33">
              <w:rPr>
                <w:rFonts w:ascii="Arial" w:hAnsi="Arial" w:cs="Arial"/>
                <w:color w:val="auto"/>
                <w:sz w:val="18"/>
                <w:szCs w:val="18"/>
              </w:rPr>
              <w:t>343</w:t>
            </w:r>
            <w:r w:rsidRPr="00BF6271">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383050D0" w14:textId="2108A8F6" w:rsidR="00EC1479" w:rsidRPr="006D637C"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6276E">
              <w:rPr>
                <w:rFonts w:ascii="Arial" w:hAnsi="Arial" w:cs="Arial"/>
                <w:color w:val="000000" w:themeColor="text1"/>
                <w:sz w:val="18"/>
                <w:szCs w:val="18"/>
              </w:rPr>
              <w:t>-</w:t>
            </w:r>
            <w:r w:rsidR="005B4D33">
              <w:rPr>
                <w:rFonts w:ascii="Arial" w:hAnsi="Arial" w:cs="Arial"/>
                <w:color w:val="000000" w:themeColor="text1"/>
                <w:sz w:val="18"/>
                <w:szCs w:val="18"/>
              </w:rPr>
              <w:t>10.9</w:t>
            </w:r>
            <w:r w:rsidRPr="0076276E">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tcPr>
          <w:p w14:paraId="30991A33" w14:textId="0403C3AC" w:rsidR="00EC1479" w:rsidRPr="006D637C"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76276E">
              <w:rPr>
                <w:rFonts w:ascii="Arial" w:hAnsi="Arial" w:cs="Arial"/>
                <w:color w:val="000000" w:themeColor="text1"/>
                <w:sz w:val="18"/>
                <w:szCs w:val="18"/>
              </w:rPr>
              <w:t>-</w:t>
            </w:r>
            <w:r w:rsidR="00C75084">
              <w:rPr>
                <w:rFonts w:ascii="Arial" w:hAnsi="Arial" w:cs="Arial"/>
                <w:color w:val="000000" w:themeColor="text1"/>
                <w:sz w:val="18"/>
                <w:szCs w:val="18"/>
              </w:rPr>
              <w:t>11.5</w:t>
            </w:r>
            <w:r w:rsidRPr="0076276E">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7C8ED9CF" w14:textId="77777777" w:rsidR="00EC1479" w:rsidRPr="00956854"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56854">
              <w:rPr>
                <w:rFonts w:ascii="Arial" w:hAnsi="Arial" w:cs="Arial"/>
                <w:color w:val="000000" w:themeColor="text1"/>
                <w:sz w:val="18"/>
                <w:szCs w:val="18"/>
              </w:rPr>
              <w:t>Service</w:t>
            </w:r>
          </w:p>
        </w:tc>
        <w:tc>
          <w:tcPr>
            <w:tcW w:w="934" w:type="dxa"/>
            <w:tcBorders>
              <w:top w:val="nil"/>
              <w:bottom w:val="nil"/>
            </w:tcBorders>
            <w:shd w:val="clear" w:color="auto" w:fill="D9D9D9" w:themeFill="background1" w:themeFillShade="D9"/>
            <w:vAlign w:val="center"/>
          </w:tcPr>
          <w:p w14:paraId="0F46DEC0" w14:textId="78CED4CC" w:rsidR="00EC1479" w:rsidRPr="006D637C"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D57DE9">
              <w:rPr>
                <w:rFonts w:ascii="Arial" w:hAnsi="Arial" w:cs="Arial"/>
                <w:color w:val="auto"/>
                <w:sz w:val="18"/>
                <w:szCs w:val="18"/>
              </w:rPr>
              <w:t>$</w:t>
            </w:r>
            <w:r w:rsidR="005B4D33">
              <w:rPr>
                <w:rFonts w:ascii="Arial" w:hAnsi="Arial" w:cs="Arial"/>
                <w:color w:val="auto"/>
                <w:sz w:val="18"/>
                <w:szCs w:val="18"/>
              </w:rPr>
              <w:t>4.2</w:t>
            </w:r>
            <w:r w:rsidRPr="00D57DE9">
              <w:rPr>
                <w:rFonts w:ascii="Arial" w:hAnsi="Arial" w:cs="Arial"/>
                <w:color w:val="auto"/>
                <w:sz w:val="18"/>
                <w:szCs w:val="18"/>
              </w:rPr>
              <w:t>B</w:t>
            </w:r>
          </w:p>
        </w:tc>
        <w:tc>
          <w:tcPr>
            <w:tcW w:w="1333" w:type="dxa"/>
            <w:tcBorders>
              <w:top w:val="nil"/>
              <w:bottom w:val="nil"/>
            </w:tcBorders>
            <w:shd w:val="clear" w:color="auto" w:fill="D9D9D9" w:themeFill="background1" w:themeFillShade="D9"/>
            <w:vAlign w:val="center"/>
          </w:tcPr>
          <w:p w14:paraId="2CDC2BAA" w14:textId="06B3150F" w:rsidR="00EC1479" w:rsidRPr="006D637C"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D637C">
              <w:rPr>
                <w:rFonts w:ascii="Arial" w:hAnsi="Arial" w:cs="Arial"/>
                <w:bCs/>
                <w:color w:val="000000" w:themeColor="text1"/>
                <w:sz w:val="18"/>
                <w:szCs w:val="18"/>
              </w:rPr>
              <w:t>-</w:t>
            </w:r>
            <w:r w:rsidR="005B4D33">
              <w:rPr>
                <w:rFonts w:ascii="Arial" w:hAnsi="Arial" w:cs="Arial"/>
                <w:bCs/>
                <w:color w:val="000000" w:themeColor="text1"/>
                <w:sz w:val="18"/>
                <w:szCs w:val="18"/>
              </w:rPr>
              <w:t>13.0</w:t>
            </w:r>
            <w:r w:rsidRPr="006D637C">
              <w:rPr>
                <w:rFonts w:ascii="Arial" w:hAnsi="Arial" w:cs="Arial"/>
                <w:bCs/>
                <w:color w:val="000000" w:themeColor="text1"/>
                <w:sz w:val="18"/>
                <w:szCs w:val="18"/>
              </w:rPr>
              <w:t>%</w:t>
            </w:r>
          </w:p>
        </w:tc>
        <w:tc>
          <w:tcPr>
            <w:tcW w:w="1333" w:type="dxa"/>
            <w:tcBorders>
              <w:top w:val="nil"/>
              <w:bottom w:val="nil"/>
            </w:tcBorders>
            <w:shd w:val="clear" w:color="auto" w:fill="D9D9D9" w:themeFill="background1" w:themeFillShade="D9"/>
            <w:vAlign w:val="center"/>
          </w:tcPr>
          <w:p w14:paraId="1583F047" w14:textId="5DDAE5E7" w:rsidR="00EC1479" w:rsidRPr="006D637C"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6D637C">
              <w:rPr>
                <w:rFonts w:ascii="Arial" w:hAnsi="Arial" w:cs="Arial"/>
                <w:bCs/>
                <w:color w:val="000000" w:themeColor="text1"/>
                <w:sz w:val="18"/>
                <w:szCs w:val="18"/>
              </w:rPr>
              <w:t>-</w:t>
            </w:r>
            <w:r w:rsidR="00C75084">
              <w:rPr>
                <w:rFonts w:ascii="Arial" w:hAnsi="Arial" w:cs="Arial"/>
                <w:bCs/>
                <w:color w:val="000000" w:themeColor="text1"/>
                <w:sz w:val="18"/>
                <w:szCs w:val="18"/>
              </w:rPr>
              <w:t>11.3</w:t>
            </w:r>
            <w:r w:rsidRPr="006D637C">
              <w:rPr>
                <w:rFonts w:ascii="Arial" w:hAnsi="Arial" w:cs="Arial"/>
                <w:bCs/>
                <w:color w:val="000000" w:themeColor="text1"/>
                <w:sz w:val="18"/>
                <w:szCs w:val="18"/>
              </w:rPr>
              <w:t>%</w:t>
            </w:r>
          </w:p>
        </w:tc>
      </w:tr>
    </w:tbl>
    <w:p w14:paraId="47292964" w14:textId="77777777" w:rsidR="00A03097" w:rsidRPr="00C33677" w:rsidRDefault="00A03097" w:rsidP="00A03097">
      <w:pPr>
        <w:pStyle w:val="NoSpacing"/>
        <w:rPr>
          <w:rFonts w:ascii="Arial" w:hAnsi="Arial" w:cs="Arial"/>
          <w:sz w:val="8"/>
          <w:szCs w:val="8"/>
        </w:rPr>
      </w:pPr>
    </w:p>
    <w:p w14:paraId="1125CA4F" w14:textId="77777777" w:rsidR="00A03097" w:rsidRPr="00EC07EE" w:rsidRDefault="00A03097" w:rsidP="00A03097">
      <w:pPr>
        <w:pStyle w:val="NoSpacing"/>
        <w:rPr>
          <w:rFonts w:ascii="Arial" w:hAnsi="Arial" w:cs="Arial"/>
          <w:color w:val="7F7F7F" w:themeColor="text1" w:themeTint="80"/>
          <w:sz w:val="16"/>
          <w:szCs w:val="16"/>
        </w:rPr>
      </w:pPr>
      <w:r w:rsidRPr="00EC07EE">
        <w:rPr>
          <w:rFonts w:ascii="Arial" w:hAnsi="Arial" w:cs="Arial"/>
          <w:color w:val="7F7F7F" w:themeColor="text1" w:themeTint="80"/>
          <w:sz w:val="16"/>
          <w:szCs w:val="16"/>
        </w:rPr>
        <w:t xml:space="preserve">Source: </w:t>
      </w:r>
      <w:proofErr w:type="spellStart"/>
      <w:r w:rsidRPr="00EC07EE">
        <w:rPr>
          <w:rFonts w:ascii="Arial" w:hAnsi="Arial" w:cs="Arial"/>
          <w:color w:val="7F7F7F" w:themeColor="text1" w:themeTint="80"/>
          <w:sz w:val="16"/>
          <w:szCs w:val="16"/>
        </w:rPr>
        <w:t>Circana</w:t>
      </w:r>
      <w:proofErr w:type="spellEnd"/>
      <w:r w:rsidRPr="00EC07EE">
        <w:rPr>
          <w:rFonts w:ascii="Arial" w:hAnsi="Arial" w:cs="Arial"/>
          <w:color w:val="7F7F7F" w:themeColor="text1" w:themeTint="80"/>
          <w:sz w:val="16"/>
          <w:szCs w:val="16"/>
        </w:rPr>
        <w:t xml:space="preserve">, Total US, </w:t>
      </w:r>
      <w:r>
        <w:rPr>
          <w:rFonts w:ascii="Arial" w:hAnsi="Arial" w:cs="Arial"/>
          <w:color w:val="7F7F7F" w:themeColor="text1" w:themeTint="80"/>
          <w:sz w:val="16"/>
          <w:szCs w:val="16"/>
        </w:rPr>
        <w:t>MULO+</w:t>
      </w:r>
      <w:r w:rsidRPr="00EC07EE">
        <w:rPr>
          <w:rFonts w:ascii="Arial" w:hAnsi="Arial" w:cs="Arial"/>
          <w:color w:val="7F7F7F" w:themeColor="text1" w:themeTint="80"/>
          <w:sz w:val="16"/>
          <w:szCs w:val="16"/>
        </w:rPr>
        <w:t>, Integrated Fresh % growth versus year ago</w:t>
      </w:r>
    </w:p>
    <w:p w14:paraId="71CEE3A1" w14:textId="77777777" w:rsidR="00A03097" w:rsidRDefault="00A03097" w:rsidP="00A03097">
      <w:pPr>
        <w:pStyle w:val="NoSpacing"/>
        <w:rPr>
          <w:rFonts w:ascii="Arial" w:hAnsi="Arial" w:cs="Arial"/>
          <w:b/>
          <w:color w:val="595959" w:themeColor="text1" w:themeTint="A6"/>
          <w:sz w:val="20"/>
          <w:szCs w:val="20"/>
        </w:rPr>
      </w:pPr>
    </w:p>
    <w:p w14:paraId="04D6495E" w14:textId="539B97A1" w:rsidR="00A03097" w:rsidRDefault="00A03097" w:rsidP="00A03097">
      <w:pPr>
        <w:pStyle w:val="NoSpacing"/>
        <w:rPr>
          <w:rFonts w:ascii="Arial" w:hAnsi="Arial" w:cs="Arial"/>
          <w:b/>
          <w:bCs/>
          <w:sz w:val="20"/>
          <w:szCs w:val="20"/>
        </w:rPr>
      </w:pPr>
      <w:r>
        <w:rPr>
          <w:rFonts w:ascii="Arial" w:hAnsi="Arial" w:cs="Arial"/>
          <w:sz w:val="20"/>
          <w:szCs w:val="20"/>
        </w:rPr>
        <w:t xml:space="preserve">Packaged lunchmeat (included in meat </w:t>
      </w:r>
      <w:r w:rsidR="000D0537">
        <w:rPr>
          <w:rFonts w:ascii="Arial" w:hAnsi="Arial" w:cs="Arial"/>
          <w:sz w:val="20"/>
          <w:szCs w:val="20"/>
        </w:rPr>
        <w:t>department sales) generated $</w:t>
      </w:r>
      <w:r w:rsidR="00F605CE">
        <w:rPr>
          <w:rFonts w:ascii="Arial" w:hAnsi="Arial" w:cs="Arial"/>
          <w:sz w:val="20"/>
          <w:szCs w:val="20"/>
        </w:rPr>
        <w:t>565</w:t>
      </w:r>
      <w:r>
        <w:rPr>
          <w:rFonts w:ascii="Arial" w:hAnsi="Arial" w:cs="Arial"/>
          <w:sz w:val="20"/>
          <w:szCs w:val="20"/>
        </w:rPr>
        <w:t xml:space="preserve"> million in</w:t>
      </w:r>
      <w:r w:rsidR="005839D2">
        <w:rPr>
          <w:rFonts w:ascii="Arial" w:hAnsi="Arial" w:cs="Arial"/>
          <w:sz w:val="20"/>
          <w:szCs w:val="20"/>
        </w:rPr>
        <w:t xml:space="preserve"> </w:t>
      </w:r>
      <w:r w:rsidR="000A2703">
        <w:rPr>
          <w:rFonts w:ascii="Arial" w:hAnsi="Arial" w:cs="Arial"/>
          <w:sz w:val="20"/>
          <w:szCs w:val="20"/>
        </w:rPr>
        <w:t>June</w:t>
      </w:r>
      <w:r>
        <w:rPr>
          <w:rFonts w:ascii="Arial" w:hAnsi="Arial" w:cs="Arial"/>
          <w:sz w:val="20"/>
          <w:szCs w:val="20"/>
        </w:rPr>
        <w:t xml:space="preserve">. Pound sales were down year-on-year but less than deli meat. Additionally, the calendar year results were also in far better shape. </w:t>
      </w:r>
    </w:p>
    <w:p w14:paraId="2BC95286" w14:textId="77777777" w:rsidR="00A03097" w:rsidRPr="004A69CA" w:rsidRDefault="00A03097" w:rsidP="00A03097">
      <w:pPr>
        <w:pStyle w:val="NoSpacing"/>
        <w:rPr>
          <w:rFonts w:ascii="Arial" w:hAnsi="Arial" w:cs="Arial"/>
          <w:sz w:val="14"/>
          <w:szCs w:val="14"/>
        </w:rPr>
      </w:pPr>
    </w:p>
    <w:tbl>
      <w:tblPr>
        <w:tblStyle w:val="LightShading-Accent5"/>
        <w:tblW w:w="10440" w:type="dxa"/>
        <w:tblLayout w:type="fixed"/>
        <w:tblLook w:val="04A0" w:firstRow="1" w:lastRow="0" w:firstColumn="1" w:lastColumn="0" w:noHBand="0" w:noVBand="1"/>
      </w:tblPr>
      <w:tblGrid>
        <w:gridCol w:w="1710"/>
        <w:gridCol w:w="900"/>
        <w:gridCol w:w="1165"/>
        <w:gridCol w:w="1328"/>
        <w:gridCol w:w="27"/>
        <w:gridCol w:w="1710"/>
        <w:gridCol w:w="934"/>
        <w:gridCol w:w="1333"/>
        <w:gridCol w:w="1333"/>
      </w:tblGrid>
      <w:tr w:rsidR="00A03097" w:rsidRPr="0003007F" w14:paraId="01FCD658"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656F9B12" w14:textId="77777777" w:rsidR="00A03097" w:rsidRPr="00AB1306"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Pre-packaged</w:t>
            </w:r>
          </w:p>
        </w:tc>
        <w:tc>
          <w:tcPr>
            <w:tcW w:w="3420" w:type="dxa"/>
            <w:gridSpan w:val="4"/>
            <w:tcBorders>
              <w:top w:val="nil"/>
              <w:bottom w:val="nil"/>
            </w:tcBorders>
            <w:shd w:val="clear" w:color="auto" w:fill="0F243E" w:themeFill="text2" w:themeFillShade="80"/>
          </w:tcPr>
          <w:p w14:paraId="059CEAD1" w14:textId="572AE3F9" w:rsidR="00A03097" w:rsidRPr="00AB1306" w:rsidRDefault="000A2703"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June</w:t>
            </w:r>
            <w:r w:rsidR="00401B3C">
              <w:rPr>
                <w:rFonts w:ascii="Arial" w:hAnsi="Arial" w:cs="Arial"/>
                <w:color w:val="FFFFFF" w:themeColor="background1"/>
                <w:sz w:val="18"/>
                <w:szCs w:val="18"/>
              </w:rPr>
              <w:t xml:space="preserve"> 2025</w:t>
            </w:r>
          </w:p>
        </w:tc>
        <w:tc>
          <w:tcPr>
            <w:tcW w:w="1710" w:type="dxa"/>
            <w:tcBorders>
              <w:top w:val="nil"/>
              <w:bottom w:val="nil"/>
            </w:tcBorders>
            <w:shd w:val="clear" w:color="auto" w:fill="0F243E" w:themeFill="text2" w:themeFillShade="80"/>
          </w:tcPr>
          <w:p w14:paraId="6FE90F44"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5AFB9E82" w14:textId="77777777" w:rsidR="00A03097" w:rsidRPr="0003007F"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A03097" w:rsidRPr="002A3B9B" w14:paraId="554A72F6"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5BB79DC6"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lunchmeat</w:t>
            </w:r>
          </w:p>
        </w:tc>
        <w:tc>
          <w:tcPr>
            <w:tcW w:w="900" w:type="dxa"/>
            <w:tcBorders>
              <w:top w:val="nil"/>
              <w:bottom w:val="nil"/>
            </w:tcBorders>
            <w:shd w:val="clear" w:color="auto" w:fill="0F243E" w:themeFill="text2" w:themeFillShade="80"/>
          </w:tcPr>
          <w:p w14:paraId="2E2C8A6D"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tcBorders>
              <w:top w:val="nil"/>
              <w:bottom w:val="nil"/>
            </w:tcBorders>
            <w:shd w:val="clear" w:color="auto" w:fill="0F243E" w:themeFill="text2" w:themeFillShade="80"/>
          </w:tcPr>
          <w:p w14:paraId="7DC74BBD"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28" w:type="dxa"/>
            <w:tcBorders>
              <w:top w:val="nil"/>
              <w:bottom w:val="nil"/>
              <w:right w:val="single" w:sz="4" w:space="0" w:color="auto"/>
            </w:tcBorders>
            <w:shd w:val="clear" w:color="auto" w:fill="0F243E" w:themeFill="text2" w:themeFillShade="80"/>
          </w:tcPr>
          <w:p w14:paraId="61B19130"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c>
          <w:tcPr>
            <w:tcW w:w="1737" w:type="dxa"/>
            <w:gridSpan w:val="2"/>
            <w:tcBorders>
              <w:top w:val="nil"/>
              <w:left w:val="single" w:sz="4" w:space="0" w:color="auto"/>
              <w:bottom w:val="nil"/>
            </w:tcBorders>
            <w:shd w:val="clear" w:color="auto" w:fill="0F243E" w:themeFill="text2" w:themeFillShade="80"/>
          </w:tcPr>
          <w:p w14:paraId="741BBE45"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675F431E"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4C9EBF06"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01131CF4"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r>
      <w:tr w:rsidR="00BC595C" w:rsidRPr="00FB41A2" w14:paraId="5B5F95A4" w14:textId="77777777" w:rsidTr="00BC595C">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24293BA9" w14:textId="77777777" w:rsidR="00BC595C" w:rsidRPr="00B22658" w:rsidRDefault="00BC595C" w:rsidP="00BC595C">
            <w:pPr>
              <w:pStyle w:val="NoSpacing"/>
              <w:rPr>
                <w:rFonts w:ascii="Arial" w:hAnsi="Arial" w:cs="Arial"/>
                <w:b w:val="0"/>
                <w:color w:val="000000" w:themeColor="text1"/>
                <w:sz w:val="18"/>
                <w:szCs w:val="18"/>
              </w:rPr>
            </w:pPr>
            <w:r w:rsidRPr="00FB41A2">
              <w:rPr>
                <w:rFonts w:ascii="Arial" w:hAnsi="Arial" w:cs="Arial"/>
                <w:b w:val="0"/>
                <w:color w:val="000000" w:themeColor="text1"/>
                <w:sz w:val="18"/>
                <w:szCs w:val="18"/>
              </w:rPr>
              <w:t>Packaged lunchmeat</w:t>
            </w:r>
          </w:p>
        </w:tc>
        <w:tc>
          <w:tcPr>
            <w:tcW w:w="900" w:type="dxa"/>
            <w:tcBorders>
              <w:top w:val="nil"/>
              <w:bottom w:val="nil"/>
            </w:tcBorders>
            <w:vAlign w:val="center"/>
          </w:tcPr>
          <w:p w14:paraId="5CE27DBC" w14:textId="32BE8F36" w:rsidR="00BC595C" w:rsidRPr="00FB41A2" w:rsidRDefault="00BC595C" w:rsidP="00BC59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20E97">
              <w:rPr>
                <w:rFonts w:ascii="Arial" w:hAnsi="Arial" w:cs="Arial"/>
                <w:color w:val="auto"/>
                <w:sz w:val="18"/>
                <w:szCs w:val="18"/>
              </w:rPr>
              <w:t>$</w:t>
            </w:r>
            <w:r>
              <w:rPr>
                <w:rFonts w:ascii="Arial" w:hAnsi="Arial" w:cs="Arial"/>
                <w:color w:val="auto"/>
                <w:sz w:val="18"/>
                <w:szCs w:val="18"/>
              </w:rPr>
              <w:t>565</w:t>
            </w:r>
            <w:r w:rsidRPr="00920E97">
              <w:rPr>
                <w:rFonts w:ascii="Arial" w:hAnsi="Arial" w:cs="Arial"/>
                <w:color w:val="auto"/>
                <w:sz w:val="18"/>
                <w:szCs w:val="18"/>
              </w:rPr>
              <w:t>M</w:t>
            </w:r>
          </w:p>
        </w:tc>
        <w:tc>
          <w:tcPr>
            <w:tcW w:w="1165" w:type="dxa"/>
            <w:tcBorders>
              <w:top w:val="nil"/>
              <w:bottom w:val="nil"/>
            </w:tcBorders>
            <w:vAlign w:val="center"/>
          </w:tcPr>
          <w:p w14:paraId="77FE901A" w14:textId="441BE069" w:rsidR="00BC595C" w:rsidRPr="00FB41A2" w:rsidRDefault="00BC595C" w:rsidP="00BC59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-2.4</w:t>
            </w:r>
            <w:r w:rsidRPr="00216082">
              <w:rPr>
                <w:rFonts w:ascii="Arial" w:hAnsi="Arial" w:cs="Arial"/>
                <w:color w:val="000000"/>
                <w:sz w:val="18"/>
                <w:szCs w:val="18"/>
              </w:rPr>
              <w:t>%</w:t>
            </w:r>
          </w:p>
        </w:tc>
        <w:tc>
          <w:tcPr>
            <w:tcW w:w="1328" w:type="dxa"/>
            <w:tcBorders>
              <w:top w:val="nil"/>
              <w:bottom w:val="nil"/>
            </w:tcBorders>
            <w:vAlign w:val="center"/>
          </w:tcPr>
          <w:p w14:paraId="7BEB2A7B" w14:textId="61BBED4B" w:rsidR="00BC595C" w:rsidRPr="00FB41A2" w:rsidRDefault="00BC595C" w:rsidP="00BC59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-2.3</w:t>
            </w:r>
            <w:r w:rsidRPr="00064D3D">
              <w:rPr>
                <w:rFonts w:ascii="Arial" w:hAnsi="Arial" w:cs="Arial"/>
                <w:color w:val="000000"/>
                <w:sz w:val="18"/>
                <w:szCs w:val="18"/>
              </w:rPr>
              <w:t>%</w:t>
            </w:r>
          </w:p>
        </w:tc>
        <w:tc>
          <w:tcPr>
            <w:tcW w:w="1737" w:type="dxa"/>
            <w:gridSpan w:val="2"/>
            <w:tcBorders>
              <w:top w:val="nil"/>
              <w:bottom w:val="nil"/>
            </w:tcBorders>
            <w:vAlign w:val="center"/>
          </w:tcPr>
          <w:p w14:paraId="07C9A666" w14:textId="77777777" w:rsidR="00BC595C" w:rsidRPr="00FB41A2" w:rsidRDefault="00BC595C" w:rsidP="00BC595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Packaged lunchmeat</w:t>
            </w:r>
          </w:p>
        </w:tc>
        <w:tc>
          <w:tcPr>
            <w:tcW w:w="934" w:type="dxa"/>
            <w:tcBorders>
              <w:top w:val="nil"/>
              <w:bottom w:val="nil"/>
            </w:tcBorders>
            <w:vAlign w:val="center"/>
          </w:tcPr>
          <w:p w14:paraId="5E015851" w14:textId="142C28EA" w:rsidR="00BC595C" w:rsidRPr="00FB41A2" w:rsidRDefault="00BC595C" w:rsidP="00BC59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3A42DD">
              <w:rPr>
                <w:rFonts w:ascii="Arial" w:hAnsi="Arial" w:cs="Arial"/>
                <w:color w:val="000000"/>
                <w:sz w:val="18"/>
                <w:szCs w:val="18"/>
              </w:rPr>
              <w:t>$</w:t>
            </w:r>
            <w:r>
              <w:rPr>
                <w:rFonts w:ascii="Arial" w:hAnsi="Arial" w:cs="Arial"/>
                <w:color w:val="000000"/>
                <w:sz w:val="18"/>
                <w:szCs w:val="18"/>
              </w:rPr>
              <w:t>7.0</w:t>
            </w:r>
            <w:r w:rsidRPr="003A42DD">
              <w:rPr>
                <w:rFonts w:ascii="Arial" w:hAnsi="Arial" w:cs="Arial"/>
                <w:color w:val="000000"/>
                <w:sz w:val="18"/>
                <w:szCs w:val="18"/>
              </w:rPr>
              <w:t>B</w:t>
            </w:r>
          </w:p>
        </w:tc>
        <w:tc>
          <w:tcPr>
            <w:tcW w:w="1333" w:type="dxa"/>
            <w:tcBorders>
              <w:top w:val="nil"/>
              <w:bottom w:val="nil"/>
            </w:tcBorders>
            <w:vAlign w:val="center"/>
          </w:tcPr>
          <w:p w14:paraId="74A5FD47" w14:textId="5E851786" w:rsidR="00BC595C" w:rsidRPr="00FB41A2" w:rsidRDefault="00BC595C" w:rsidP="00BC59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-1.3</w:t>
            </w:r>
            <w:r w:rsidRPr="00AC25B6">
              <w:rPr>
                <w:rFonts w:ascii="Arial" w:hAnsi="Arial" w:cs="Arial"/>
                <w:color w:val="000000"/>
                <w:sz w:val="18"/>
                <w:szCs w:val="18"/>
              </w:rPr>
              <w:t>%</w:t>
            </w:r>
          </w:p>
        </w:tc>
        <w:tc>
          <w:tcPr>
            <w:tcW w:w="1333" w:type="dxa"/>
            <w:tcBorders>
              <w:top w:val="nil"/>
              <w:bottom w:val="nil"/>
            </w:tcBorders>
            <w:vAlign w:val="center"/>
          </w:tcPr>
          <w:p w14:paraId="1EF2958A" w14:textId="7B863DBE" w:rsidR="00BC595C" w:rsidRPr="00FB41A2" w:rsidRDefault="00BC595C" w:rsidP="00BC595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sz w:val="18"/>
                <w:szCs w:val="18"/>
              </w:rPr>
              <w:t>-2.5</w:t>
            </w:r>
            <w:r w:rsidRPr="00AC25B6">
              <w:rPr>
                <w:rFonts w:ascii="Arial" w:hAnsi="Arial" w:cs="Arial"/>
                <w:color w:val="000000"/>
                <w:sz w:val="18"/>
                <w:szCs w:val="18"/>
              </w:rPr>
              <w:t>%</w:t>
            </w:r>
          </w:p>
        </w:tc>
      </w:tr>
    </w:tbl>
    <w:p w14:paraId="7CFC8B7E" w14:textId="77777777" w:rsidR="00A03097" w:rsidRPr="009D6293" w:rsidRDefault="00A03097" w:rsidP="00A03097">
      <w:pPr>
        <w:pStyle w:val="NoSpacing"/>
        <w:rPr>
          <w:rFonts w:ascii="Arial" w:hAnsi="Arial" w:cs="Arial"/>
          <w:color w:val="7F7F7F" w:themeColor="text1" w:themeTint="80"/>
          <w:sz w:val="16"/>
          <w:szCs w:val="16"/>
        </w:rPr>
      </w:pPr>
      <w:r w:rsidRPr="00AA0E2A">
        <w:rPr>
          <w:rFonts w:ascii="Arial" w:hAnsi="Arial" w:cs="Arial"/>
          <w:color w:val="7F7F7F" w:themeColor="text1" w:themeTint="80"/>
          <w:sz w:val="16"/>
          <w:szCs w:val="16"/>
        </w:rPr>
        <w:t xml:space="preserve">Source: </w:t>
      </w:r>
      <w:proofErr w:type="spellStart"/>
      <w:r w:rsidRPr="00AA0E2A">
        <w:rPr>
          <w:rFonts w:ascii="Arial" w:hAnsi="Arial" w:cs="Arial"/>
          <w:color w:val="7F7F7F" w:themeColor="text1" w:themeTint="80"/>
          <w:sz w:val="16"/>
          <w:szCs w:val="16"/>
        </w:rPr>
        <w:t>Circana</w:t>
      </w:r>
      <w:proofErr w:type="spellEnd"/>
      <w:r w:rsidRPr="00AA0E2A">
        <w:rPr>
          <w:rFonts w:ascii="Arial" w:hAnsi="Arial" w:cs="Arial"/>
          <w:color w:val="7F7F7F" w:themeColor="text1" w:themeTint="80"/>
          <w:sz w:val="16"/>
          <w:szCs w:val="16"/>
        </w:rPr>
        <w:t xml:space="preserve">, Total US, </w:t>
      </w:r>
      <w:r>
        <w:rPr>
          <w:rFonts w:ascii="Arial" w:hAnsi="Arial" w:cs="Arial"/>
          <w:color w:val="7F7F7F" w:themeColor="text1" w:themeTint="80"/>
          <w:sz w:val="16"/>
          <w:szCs w:val="16"/>
        </w:rPr>
        <w:t>MULO+</w:t>
      </w:r>
      <w:r w:rsidRPr="00AA0E2A">
        <w:rPr>
          <w:rFonts w:ascii="Arial" w:hAnsi="Arial" w:cs="Arial"/>
          <w:color w:val="7F7F7F" w:themeColor="text1" w:themeTint="80"/>
          <w:sz w:val="16"/>
          <w:szCs w:val="16"/>
        </w:rPr>
        <w:t>, Integrated</w:t>
      </w:r>
      <w:r>
        <w:rPr>
          <w:rFonts w:ascii="Arial" w:hAnsi="Arial" w:cs="Arial"/>
          <w:color w:val="7F7F7F" w:themeColor="text1" w:themeTint="80"/>
          <w:sz w:val="16"/>
          <w:szCs w:val="16"/>
        </w:rPr>
        <w:t xml:space="preserve"> Fresh % growth versus year ago</w:t>
      </w:r>
    </w:p>
    <w:p w14:paraId="7F805595" w14:textId="77777777" w:rsidR="00A03097" w:rsidRDefault="00A03097" w:rsidP="00A03097">
      <w:pPr>
        <w:pStyle w:val="NoSpacing"/>
        <w:rPr>
          <w:rFonts w:ascii="Arial" w:hAnsi="Arial" w:cs="Arial"/>
          <w:b/>
          <w:color w:val="595959" w:themeColor="text1" w:themeTint="A6"/>
          <w:sz w:val="20"/>
          <w:szCs w:val="20"/>
        </w:rPr>
      </w:pPr>
    </w:p>
    <w:p w14:paraId="440CE955" w14:textId="77777777" w:rsidR="00435FCB" w:rsidRDefault="00435FCB" w:rsidP="00A03097">
      <w:pPr>
        <w:pStyle w:val="NoSpacing"/>
        <w:rPr>
          <w:rFonts w:ascii="Arial" w:hAnsi="Arial" w:cs="Arial"/>
          <w:b/>
          <w:color w:val="595959" w:themeColor="text1" w:themeTint="A6"/>
          <w:sz w:val="20"/>
          <w:szCs w:val="20"/>
        </w:rPr>
      </w:pPr>
    </w:p>
    <w:p w14:paraId="7BF343B9" w14:textId="77777777" w:rsidR="00A03097" w:rsidRPr="00013FF0" w:rsidRDefault="00A03097" w:rsidP="00A03097">
      <w:pPr>
        <w:pStyle w:val="NoSpacing"/>
        <w:rPr>
          <w:rFonts w:ascii="Arial" w:hAnsi="Arial" w:cs="Arial"/>
          <w:b/>
          <w:color w:val="595959" w:themeColor="text1" w:themeTint="A6"/>
          <w:sz w:val="20"/>
          <w:szCs w:val="20"/>
        </w:rPr>
      </w:pPr>
      <w:r w:rsidRPr="00013FF0">
        <w:rPr>
          <w:rFonts w:ascii="Arial" w:hAnsi="Arial" w:cs="Arial"/>
          <w:b/>
          <w:color w:val="595959" w:themeColor="text1" w:themeTint="A6"/>
          <w:sz w:val="20"/>
          <w:szCs w:val="20"/>
        </w:rPr>
        <w:t>Deli Cheese</w:t>
      </w:r>
    </w:p>
    <w:p w14:paraId="3E7A1B80" w14:textId="0F4CE502" w:rsidR="00A03097" w:rsidRDefault="003E6DB7" w:rsidP="00A03097">
      <w:pPr>
        <w:pStyle w:val="NoSpacing"/>
        <w:rPr>
          <w:rFonts w:ascii="Arial" w:hAnsi="Arial" w:cs="Arial"/>
          <w:sz w:val="20"/>
          <w:szCs w:val="20"/>
        </w:rPr>
      </w:pPr>
      <w:r>
        <w:rPr>
          <w:rFonts w:ascii="Arial" w:hAnsi="Arial" w:cs="Arial"/>
          <w:sz w:val="20"/>
          <w:szCs w:val="20"/>
        </w:rPr>
        <w:t>Contrary to deli meat, d</w:t>
      </w:r>
      <w:r w:rsidR="00A74DC1">
        <w:rPr>
          <w:rFonts w:ascii="Arial" w:hAnsi="Arial" w:cs="Arial"/>
          <w:sz w:val="20"/>
          <w:szCs w:val="20"/>
        </w:rPr>
        <w:t xml:space="preserve">eli cheese had a </w:t>
      </w:r>
      <w:r w:rsidR="00607CEC">
        <w:rPr>
          <w:rFonts w:ascii="Arial" w:hAnsi="Arial" w:cs="Arial"/>
          <w:sz w:val="20"/>
          <w:szCs w:val="20"/>
        </w:rPr>
        <w:t xml:space="preserve">strong </w:t>
      </w:r>
      <w:r w:rsidR="000A2703">
        <w:rPr>
          <w:rFonts w:ascii="Arial" w:hAnsi="Arial" w:cs="Arial"/>
          <w:sz w:val="20"/>
          <w:szCs w:val="20"/>
        </w:rPr>
        <w:t>June</w:t>
      </w:r>
      <w:r w:rsidR="00607CEC">
        <w:rPr>
          <w:rFonts w:ascii="Arial" w:hAnsi="Arial" w:cs="Arial"/>
          <w:sz w:val="20"/>
          <w:szCs w:val="20"/>
        </w:rPr>
        <w:t xml:space="preserve">. </w:t>
      </w:r>
      <w:r w:rsidR="00A74DC1">
        <w:rPr>
          <w:rFonts w:ascii="Arial" w:hAnsi="Arial" w:cs="Arial"/>
          <w:sz w:val="20"/>
          <w:szCs w:val="20"/>
        </w:rPr>
        <w:t xml:space="preserve">Pre-sliced and specialty cheese grew </w:t>
      </w:r>
      <w:r w:rsidR="00D17DC4">
        <w:rPr>
          <w:rFonts w:ascii="Arial" w:hAnsi="Arial" w:cs="Arial"/>
          <w:sz w:val="20"/>
          <w:szCs w:val="20"/>
        </w:rPr>
        <w:t xml:space="preserve">dollar and </w:t>
      </w:r>
      <w:r w:rsidR="00A74DC1">
        <w:rPr>
          <w:rFonts w:ascii="Arial" w:hAnsi="Arial" w:cs="Arial"/>
          <w:sz w:val="20"/>
          <w:szCs w:val="20"/>
        </w:rPr>
        <w:t xml:space="preserve">pound sales, whereas grab &amp; go and service cheese were unable to keep up with last year’s levels. </w:t>
      </w:r>
      <w:r w:rsidR="00A03097">
        <w:rPr>
          <w:rFonts w:ascii="Arial" w:hAnsi="Arial" w:cs="Arial"/>
          <w:sz w:val="20"/>
          <w:szCs w:val="20"/>
        </w:rPr>
        <w:t>Specialty cheese</w:t>
      </w:r>
      <w:r w:rsidR="00A74DC1">
        <w:rPr>
          <w:rFonts w:ascii="Arial" w:hAnsi="Arial" w:cs="Arial"/>
          <w:sz w:val="20"/>
          <w:szCs w:val="20"/>
        </w:rPr>
        <w:t xml:space="preserve"> sales</w:t>
      </w:r>
      <w:r w:rsidR="00A03097">
        <w:rPr>
          <w:rFonts w:ascii="Arial" w:hAnsi="Arial" w:cs="Arial"/>
          <w:sz w:val="20"/>
          <w:szCs w:val="20"/>
        </w:rPr>
        <w:t xml:space="preserve"> have done well all year, wit</w:t>
      </w:r>
      <w:r w:rsidR="000D0537">
        <w:rPr>
          <w:rFonts w:ascii="Arial" w:hAnsi="Arial" w:cs="Arial"/>
          <w:sz w:val="20"/>
          <w:szCs w:val="20"/>
        </w:rPr>
        <w:t xml:space="preserve">h the 52-week pound sales up </w:t>
      </w:r>
      <w:r>
        <w:rPr>
          <w:rFonts w:ascii="Arial" w:hAnsi="Arial" w:cs="Arial"/>
          <w:sz w:val="20"/>
          <w:szCs w:val="20"/>
        </w:rPr>
        <w:t>7.5</w:t>
      </w:r>
      <w:r w:rsidR="00A03097">
        <w:rPr>
          <w:rFonts w:ascii="Arial" w:hAnsi="Arial" w:cs="Arial"/>
          <w:sz w:val="20"/>
          <w:szCs w:val="20"/>
        </w:rPr>
        <w:t xml:space="preserve">%. </w:t>
      </w:r>
    </w:p>
    <w:p w14:paraId="6D7DCAC0" w14:textId="77777777" w:rsidR="00A03097" w:rsidRPr="004A69CA" w:rsidRDefault="00A03097" w:rsidP="00A03097">
      <w:pPr>
        <w:pStyle w:val="NoSpacing"/>
        <w:rPr>
          <w:rFonts w:ascii="Arial" w:hAnsi="Arial" w:cs="Arial"/>
          <w:sz w:val="16"/>
          <w:szCs w:val="16"/>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34"/>
        <w:gridCol w:w="1333"/>
        <w:gridCol w:w="1333"/>
      </w:tblGrid>
      <w:tr w:rsidR="00A03097" w:rsidRPr="0003007F" w14:paraId="1C9EECAC"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0DD80C02" w14:textId="77777777" w:rsidR="00A03097" w:rsidRPr="00AB1306" w:rsidRDefault="00A03097" w:rsidP="000D0537">
            <w:pPr>
              <w:pStyle w:val="NoSpacing"/>
              <w:rPr>
                <w:rFonts w:ascii="Arial" w:hAnsi="Arial" w:cs="Arial"/>
                <w:color w:val="FFFFFF" w:themeColor="background1"/>
                <w:sz w:val="18"/>
                <w:szCs w:val="18"/>
              </w:rPr>
            </w:pPr>
          </w:p>
        </w:tc>
        <w:tc>
          <w:tcPr>
            <w:tcW w:w="3420" w:type="dxa"/>
            <w:gridSpan w:val="5"/>
            <w:tcBorders>
              <w:top w:val="nil"/>
              <w:bottom w:val="nil"/>
            </w:tcBorders>
            <w:shd w:val="clear" w:color="auto" w:fill="0F243E" w:themeFill="text2" w:themeFillShade="80"/>
          </w:tcPr>
          <w:p w14:paraId="34515DB4" w14:textId="0DDDFED3" w:rsidR="00A03097" w:rsidRPr="00AB1306" w:rsidRDefault="000A2703"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June</w:t>
            </w:r>
            <w:r w:rsidR="00401B3C">
              <w:rPr>
                <w:rFonts w:ascii="Arial" w:hAnsi="Arial" w:cs="Arial"/>
                <w:color w:val="FFFFFF" w:themeColor="background1"/>
                <w:sz w:val="18"/>
                <w:szCs w:val="18"/>
              </w:rPr>
              <w:t xml:space="preserve"> 2025</w:t>
            </w:r>
          </w:p>
        </w:tc>
        <w:tc>
          <w:tcPr>
            <w:tcW w:w="1710" w:type="dxa"/>
            <w:tcBorders>
              <w:top w:val="nil"/>
              <w:bottom w:val="nil"/>
            </w:tcBorders>
            <w:shd w:val="clear" w:color="auto" w:fill="0F243E" w:themeFill="text2" w:themeFillShade="80"/>
          </w:tcPr>
          <w:p w14:paraId="308485FA" w14:textId="77777777" w:rsidR="00A03097" w:rsidRPr="00F515F4"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67149B83" w14:textId="77777777" w:rsidR="00A03097" w:rsidRPr="0003007F"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A03097" w:rsidRPr="002A3B9B" w14:paraId="767281A5"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17EA5489"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Deli cheese</w:t>
            </w:r>
          </w:p>
        </w:tc>
        <w:tc>
          <w:tcPr>
            <w:tcW w:w="900" w:type="dxa"/>
            <w:tcBorders>
              <w:top w:val="nil"/>
              <w:bottom w:val="nil"/>
            </w:tcBorders>
            <w:shd w:val="clear" w:color="auto" w:fill="0F243E" w:themeFill="text2" w:themeFillShade="80"/>
          </w:tcPr>
          <w:p w14:paraId="13B9BB47"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gridSpan w:val="2"/>
            <w:tcBorders>
              <w:top w:val="nil"/>
              <w:bottom w:val="nil"/>
            </w:tcBorders>
            <w:shd w:val="clear" w:color="auto" w:fill="0F243E" w:themeFill="text2" w:themeFillShade="80"/>
          </w:tcPr>
          <w:p w14:paraId="57524C69"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right w:val="single" w:sz="4" w:space="0" w:color="auto"/>
            </w:tcBorders>
            <w:shd w:val="clear" w:color="auto" w:fill="0F243E" w:themeFill="text2" w:themeFillShade="80"/>
          </w:tcPr>
          <w:p w14:paraId="0B4A4C23"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c>
          <w:tcPr>
            <w:tcW w:w="1732" w:type="dxa"/>
            <w:gridSpan w:val="2"/>
            <w:tcBorders>
              <w:top w:val="nil"/>
              <w:left w:val="single" w:sz="4" w:space="0" w:color="auto"/>
              <w:bottom w:val="nil"/>
            </w:tcBorders>
            <w:shd w:val="clear" w:color="auto" w:fill="0F243E" w:themeFill="text2" w:themeFillShade="80"/>
          </w:tcPr>
          <w:p w14:paraId="3C579516"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06FF3394"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076A6C4B"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18C91D37"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r>
      <w:tr w:rsidR="001031CD" w:rsidRPr="00956854" w14:paraId="2D0C9F4B" w14:textId="77777777" w:rsidTr="00435FCB">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21E49FC3" w14:textId="77777777" w:rsidR="001031CD" w:rsidRPr="002515C9" w:rsidRDefault="001031CD" w:rsidP="001031CD">
            <w:pPr>
              <w:pStyle w:val="NoSpacing"/>
              <w:rPr>
                <w:rFonts w:ascii="Arial" w:hAnsi="Arial" w:cs="Arial"/>
                <w:color w:val="000000" w:themeColor="text1"/>
                <w:sz w:val="18"/>
                <w:szCs w:val="18"/>
              </w:rPr>
            </w:pPr>
            <w:r w:rsidRPr="002515C9">
              <w:rPr>
                <w:rFonts w:ascii="Arial" w:hAnsi="Arial" w:cs="Arial"/>
                <w:color w:val="000000" w:themeColor="text1"/>
                <w:sz w:val="18"/>
                <w:szCs w:val="18"/>
              </w:rPr>
              <w:t>Total deli cheese</w:t>
            </w:r>
          </w:p>
        </w:tc>
        <w:tc>
          <w:tcPr>
            <w:tcW w:w="990" w:type="dxa"/>
            <w:gridSpan w:val="2"/>
            <w:tcBorders>
              <w:top w:val="nil"/>
              <w:bottom w:val="nil"/>
            </w:tcBorders>
            <w:vAlign w:val="center"/>
          </w:tcPr>
          <w:p w14:paraId="5AD1C964" w14:textId="64FC1120" w:rsidR="001031CD" w:rsidRPr="00312BB9" w:rsidRDefault="001031CD"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312BB9">
              <w:rPr>
                <w:rFonts w:ascii="Arial" w:hAnsi="Arial" w:cs="Arial"/>
                <w:b/>
                <w:color w:val="auto"/>
                <w:sz w:val="18"/>
                <w:szCs w:val="18"/>
              </w:rPr>
              <w:t>$</w:t>
            </w:r>
            <w:r w:rsidR="00BD16A8">
              <w:rPr>
                <w:rFonts w:ascii="Arial" w:hAnsi="Arial" w:cs="Arial"/>
                <w:b/>
                <w:color w:val="auto"/>
                <w:sz w:val="18"/>
                <w:szCs w:val="18"/>
              </w:rPr>
              <w:t>764</w:t>
            </w:r>
            <w:r w:rsidRPr="00312BB9">
              <w:rPr>
                <w:rFonts w:ascii="Arial" w:hAnsi="Arial" w:cs="Arial"/>
                <w:b/>
                <w:color w:val="auto"/>
                <w:sz w:val="18"/>
                <w:szCs w:val="18"/>
              </w:rPr>
              <w:t>M</w:t>
            </w:r>
          </w:p>
        </w:tc>
        <w:tc>
          <w:tcPr>
            <w:tcW w:w="1075" w:type="dxa"/>
            <w:tcBorders>
              <w:top w:val="nil"/>
              <w:bottom w:val="nil"/>
            </w:tcBorders>
            <w:vAlign w:val="center"/>
          </w:tcPr>
          <w:p w14:paraId="3D27DB18" w14:textId="4115CEE2" w:rsidR="001031CD" w:rsidRPr="00312BB9" w:rsidRDefault="008719A3"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BD16A8">
              <w:rPr>
                <w:rFonts w:ascii="Arial" w:hAnsi="Arial" w:cs="Arial"/>
                <w:b/>
                <w:bCs/>
                <w:color w:val="000000" w:themeColor="text1"/>
                <w:sz w:val="18"/>
                <w:szCs w:val="18"/>
              </w:rPr>
              <w:t>4.6</w:t>
            </w:r>
            <w:r w:rsidR="001031CD" w:rsidRPr="00312BB9">
              <w:rPr>
                <w:rFonts w:ascii="Arial" w:hAnsi="Arial" w:cs="Arial"/>
                <w:b/>
                <w:bCs/>
                <w:color w:val="000000" w:themeColor="text1"/>
                <w:sz w:val="18"/>
                <w:szCs w:val="18"/>
              </w:rPr>
              <w:t>%</w:t>
            </w:r>
          </w:p>
        </w:tc>
        <w:tc>
          <w:tcPr>
            <w:tcW w:w="1333" w:type="dxa"/>
            <w:tcBorders>
              <w:top w:val="nil"/>
              <w:bottom w:val="nil"/>
              <w:right w:val="single" w:sz="4" w:space="0" w:color="auto"/>
            </w:tcBorders>
            <w:vAlign w:val="center"/>
          </w:tcPr>
          <w:p w14:paraId="3D0CF26C" w14:textId="416F917E" w:rsidR="001031CD" w:rsidRPr="00464F97" w:rsidRDefault="008719A3"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BD16A8">
              <w:rPr>
                <w:rFonts w:ascii="Arial" w:hAnsi="Arial" w:cs="Arial"/>
                <w:b/>
                <w:bCs/>
                <w:color w:val="000000" w:themeColor="text1"/>
                <w:sz w:val="18"/>
                <w:szCs w:val="18"/>
              </w:rPr>
              <w:t>3.9</w:t>
            </w:r>
            <w:r w:rsidR="001031CD">
              <w:rPr>
                <w:rFonts w:ascii="Arial" w:hAnsi="Arial" w:cs="Arial"/>
                <w:b/>
                <w:bCs/>
                <w:color w:val="000000" w:themeColor="text1"/>
                <w:sz w:val="18"/>
                <w:szCs w:val="18"/>
              </w:rPr>
              <w:t>%</w:t>
            </w:r>
          </w:p>
        </w:tc>
        <w:tc>
          <w:tcPr>
            <w:tcW w:w="1732" w:type="dxa"/>
            <w:gridSpan w:val="2"/>
            <w:tcBorders>
              <w:top w:val="nil"/>
              <w:left w:val="single" w:sz="4" w:space="0" w:color="auto"/>
              <w:bottom w:val="nil"/>
            </w:tcBorders>
            <w:vAlign w:val="center"/>
          </w:tcPr>
          <w:p w14:paraId="34BCF6BF" w14:textId="77777777" w:rsidR="001031CD" w:rsidRPr="002515C9" w:rsidRDefault="001031CD" w:rsidP="00435FCB">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2515C9">
              <w:rPr>
                <w:rFonts w:ascii="Arial" w:hAnsi="Arial" w:cs="Arial"/>
                <w:b/>
                <w:bCs/>
                <w:color w:val="000000" w:themeColor="text1"/>
                <w:sz w:val="18"/>
                <w:szCs w:val="18"/>
              </w:rPr>
              <w:t>Deli cheese</w:t>
            </w:r>
          </w:p>
        </w:tc>
        <w:tc>
          <w:tcPr>
            <w:tcW w:w="934" w:type="dxa"/>
            <w:tcBorders>
              <w:top w:val="nil"/>
              <w:bottom w:val="nil"/>
            </w:tcBorders>
            <w:vAlign w:val="center"/>
          </w:tcPr>
          <w:p w14:paraId="5052CB3D" w14:textId="23841BDA" w:rsidR="001031CD" w:rsidRPr="002515C9" w:rsidRDefault="001031CD"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2515C9">
              <w:rPr>
                <w:rFonts w:ascii="Arial" w:hAnsi="Arial" w:cs="Arial"/>
                <w:b/>
                <w:bCs/>
                <w:color w:val="auto"/>
                <w:sz w:val="18"/>
                <w:szCs w:val="18"/>
              </w:rPr>
              <w:t>$</w:t>
            </w:r>
            <w:r w:rsidR="00BD16A8">
              <w:rPr>
                <w:rFonts w:ascii="Arial" w:hAnsi="Arial" w:cs="Arial"/>
                <w:b/>
                <w:bCs/>
                <w:color w:val="auto"/>
                <w:sz w:val="18"/>
                <w:szCs w:val="18"/>
              </w:rPr>
              <w:t>9.8</w:t>
            </w:r>
            <w:r w:rsidRPr="002515C9">
              <w:rPr>
                <w:rFonts w:ascii="Arial" w:hAnsi="Arial" w:cs="Arial"/>
                <w:b/>
                <w:bCs/>
                <w:color w:val="auto"/>
                <w:sz w:val="18"/>
                <w:szCs w:val="18"/>
              </w:rPr>
              <w:t>B</w:t>
            </w:r>
          </w:p>
        </w:tc>
        <w:tc>
          <w:tcPr>
            <w:tcW w:w="1333" w:type="dxa"/>
            <w:tcBorders>
              <w:top w:val="nil"/>
              <w:bottom w:val="nil"/>
            </w:tcBorders>
            <w:vAlign w:val="center"/>
          </w:tcPr>
          <w:p w14:paraId="134BB270" w14:textId="0A05AD5E" w:rsidR="001031CD" w:rsidRPr="002515C9" w:rsidRDefault="001031CD"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BD16A8">
              <w:rPr>
                <w:rFonts w:ascii="Arial" w:hAnsi="Arial" w:cs="Arial"/>
                <w:b/>
                <w:bCs/>
                <w:color w:val="000000" w:themeColor="text1"/>
                <w:sz w:val="18"/>
                <w:szCs w:val="18"/>
              </w:rPr>
              <w:t>3.7</w:t>
            </w:r>
            <w:r w:rsidRPr="002515C9">
              <w:rPr>
                <w:rFonts w:ascii="Arial" w:hAnsi="Arial" w:cs="Arial"/>
                <w:b/>
                <w:bCs/>
                <w:color w:val="000000" w:themeColor="text1"/>
                <w:sz w:val="18"/>
                <w:szCs w:val="18"/>
              </w:rPr>
              <w:t>%</w:t>
            </w:r>
          </w:p>
        </w:tc>
        <w:tc>
          <w:tcPr>
            <w:tcW w:w="1333" w:type="dxa"/>
            <w:tcBorders>
              <w:top w:val="nil"/>
              <w:bottom w:val="nil"/>
            </w:tcBorders>
            <w:vAlign w:val="center"/>
          </w:tcPr>
          <w:p w14:paraId="5A092CE8" w14:textId="41044D8A" w:rsidR="001031CD" w:rsidRPr="002515C9" w:rsidRDefault="001031CD" w:rsidP="00435FC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2515C9">
              <w:rPr>
                <w:rFonts w:ascii="Arial" w:hAnsi="Arial" w:cs="Arial"/>
                <w:b/>
                <w:bCs/>
                <w:color w:val="auto"/>
                <w:sz w:val="18"/>
                <w:szCs w:val="18"/>
              </w:rPr>
              <w:t>+</w:t>
            </w:r>
            <w:r w:rsidR="00BD16A8">
              <w:rPr>
                <w:rFonts w:ascii="Arial" w:hAnsi="Arial" w:cs="Arial"/>
                <w:b/>
                <w:bCs/>
                <w:color w:val="auto"/>
                <w:sz w:val="18"/>
                <w:szCs w:val="18"/>
              </w:rPr>
              <w:t>4.1</w:t>
            </w:r>
            <w:r w:rsidRPr="002515C9">
              <w:rPr>
                <w:rFonts w:ascii="Arial" w:hAnsi="Arial" w:cs="Arial"/>
                <w:b/>
                <w:bCs/>
                <w:color w:val="auto"/>
                <w:sz w:val="18"/>
                <w:szCs w:val="18"/>
              </w:rPr>
              <w:t>%</w:t>
            </w:r>
          </w:p>
        </w:tc>
      </w:tr>
      <w:tr w:rsidR="00EC1479" w:rsidRPr="00956854" w14:paraId="622DD4B5"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847C002" w14:textId="77777777" w:rsidR="00EC1479" w:rsidRPr="000372DF" w:rsidRDefault="00EC1479" w:rsidP="00EC1479">
            <w:pPr>
              <w:pStyle w:val="NoSpacing"/>
              <w:rPr>
                <w:rFonts w:ascii="Arial" w:hAnsi="Arial" w:cs="Arial"/>
                <w:b w:val="0"/>
                <w:bCs w:val="0"/>
                <w:color w:val="000000" w:themeColor="text1"/>
                <w:sz w:val="18"/>
                <w:szCs w:val="18"/>
              </w:rPr>
            </w:pPr>
            <w:r w:rsidRPr="000372DF">
              <w:rPr>
                <w:rFonts w:ascii="Arial" w:hAnsi="Arial" w:cs="Arial"/>
                <w:b w:val="0"/>
                <w:bCs w:val="0"/>
                <w:color w:val="000000" w:themeColor="text1"/>
                <w:sz w:val="18"/>
                <w:szCs w:val="18"/>
              </w:rPr>
              <w:t>Grab &amp; go</w:t>
            </w:r>
          </w:p>
        </w:tc>
        <w:tc>
          <w:tcPr>
            <w:tcW w:w="990" w:type="dxa"/>
            <w:gridSpan w:val="2"/>
            <w:tcBorders>
              <w:top w:val="nil"/>
              <w:bottom w:val="nil"/>
            </w:tcBorders>
            <w:shd w:val="clear" w:color="auto" w:fill="D9D9D9" w:themeFill="background1" w:themeFillShade="D9"/>
          </w:tcPr>
          <w:p w14:paraId="539DFCAB" w14:textId="26023147"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886FC7">
              <w:rPr>
                <w:rFonts w:ascii="Arial" w:hAnsi="Arial" w:cs="Arial"/>
                <w:color w:val="auto"/>
                <w:sz w:val="18"/>
                <w:szCs w:val="18"/>
              </w:rPr>
              <w:t>$</w:t>
            </w:r>
            <w:r w:rsidR="00BD16A8">
              <w:rPr>
                <w:rFonts w:ascii="Arial" w:hAnsi="Arial" w:cs="Arial"/>
                <w:color w:val="auto"/>
                <w:sz w:val="18"/>
                <w:szCs w:val="18"/>
              </w:rPr>
              <w:t>94</w:t>
            </w:r>
            <w:r w:rsidRPr="00886FC7">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6EF31432" w14:textId="5E040AC5" w:rsidR="00EC1479" w:rsidRPr="003A064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BD16A8">
              <w:rPr>
                <w:rFonts w:ascii="Arial" w:hAnsi="Arial" w:cs="Arial"/>
                <w:color w:val="000000" w:themeColor="text1"/>
                <w:sz w:val="18"/>
                <w:szCs w:val="18"/>
              </w:rPr>
              <w:t>1.6</w:t>
            </w:r>
            <w:r w:rsidRPr="003A064B">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vAlign w:val="center"/>
          </w:tcPr>
          <w:p w14:paraId="7E5AA777" w14:textId="77B652FB" w:rsidR="00EC1479" w:rsidRPr="003A064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BD16A8">
              <w:rPr>
                <w:rFonts w:ascii="Arial" w:hAnsi="Arial" w:cs="Arial"/>
                <w:color w:val="000000" w:themeColor="text1"/>
                <w:sz w:val="18"/>
                <w:szCs w:val="18"/>
              </w:rPr>
              <w:t>2.9</w:t>
            </w:r>
            <w:r w:rsidRPr="003A064B">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76D7703F" w14:textId="77777777" w:rsidR="00EC1479" w:rsidRPr="000372DF"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372DF">
              <w:rPr>
                <w:rFonts w:ascii="Arial" w:hAnsi="Arial" w:cs="Arial"/>
                <w:color w:val="000000" w:themeColor="text1"/>
                <w:sz w:val="18"/>
                <w:szCs w:val="18"/>
              </w:rPr>
              <w:t>Grab &amp; go</w:t>
            </w:r>
          </w:p>
        </w:tc>
        <w:tc>
          <w:tcPr>
            <w:tcW w:w="934" w:type="dxa"/>
            <w:tcBorders>
              <w:top w:val="nil"/>
              <w:bottom w:val="nil"/>
            </w:tcBorders>
            <w:shd w:val="clear" w:color="auto" w:fill="D9D9D9" w:themeFill="background1" w:themeFillShade="D9"/>
            <w:vAlign w:val="center"/>
          </w:tcPr>
          <w:p w14:paraId="41FA1001" w14:textId="35A0E611" w:rsidR="00EC1479" w:rsidRPr="000372DF"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auto"/>
                <w:sz w:val="18"/>
                <w:szCs w:val="18"/>
              </w:rPr>
              <w:t>$</w:t>
            </w:r>
            <w:r w:rsidR="00BD16A8">
              <w:rPr>
                <w:rFonts w:ascii="Arial" w:hAnsi="Arial" w:cs="Arial"/>
                <w:color w:val="auto"/>
                <w:sz w:val="18"/>
                <w:szCs w:val="18"/>
              </w:rPr>
              <w:t>1.2</w:t>
            </w:r>
            <w:r w:rsidRPr="000372DF">
              <w:rPr>
                <w:rFonts w:ascii="Arial" w:hAnsi="Arial" w:cs="Arial"/>
                <w:color w:val="auto"/>
                <w:sz w:val="18"/>
                <w:szCs w:val="18"/>
              </w:rPr>
              <w:t>B</w:t>
            </w:r>
          </w:p>
        </w:tc>
        <w:tc>
          <w:tcPr>
            <w:tcW w:w="1333" w:type="dxa"/>
            <w:tcBorders>
              <w:top w:val="nil"/>
              <w:bottom w:val="nil"/>
            </w:tcBorders>
            <w:shd w:val="clear" w:color="auto" w:fill="D9D9D9" w:themeFill="background1" w:themeFillShade="D9"/>
          </w:tcPr>
          <w:p w14:paraId="3144DE97" w14:textId="56E78D66" w:rsidR="00EC1479" w:rsidRPr="000372DF"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42E1E">
              <w:rPr>
                <w:rFonts w:ascii="Arial" w:hAnsi="Arial" w:cs="Arial"/>
                <w:color w:val="000000" w:themeColor="text1"/>
                <w:sz w:val="18"/>
                <w:szCs w:val="18"/>
              </w:rPr>
              <w:t>-</w:t>
            </w:r>
            <w:r w:rsidR="00BD16A8">
              <w:rPr>
                <w:rFonts w:ascii="Arial" w:hAnsi="Arial" w:cs="Arial"/>
                <w:color w:val="000000" w:themeColor="text1"/>
                <w:sz w:val="18"/>
                <w:szCs w:val="18"/>
              </w:rPr>
              <w:t>0.7</w:t>
            </w:r>
            <w:r w:rsidRPr="00042E1E">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3A1C13BC" w14:textId="56021EF4" w:rsidR="00EC1479" w:rsidRPr="000372DF"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42E1E">
              <w:rPr>
                <w:rFonts w:ascii="Arial" w:hAnsi="Arial" w:cs="Arial"/>
                <w:color w:val="000000" w:themeColor="text1"/>
                <w:sz w:val="18"/>
                <w:szCs w:val="18"/>
              </w:rPr>
              <w:t>-</w:t>
            </w:r>
            <w:r w:rsidR="00BD16A8">
              <w:rPr>
                <w:rFonts w:ascii="Arial" w:hAnsi="Arial" w:cs="Arial"/>
                <w:color w:val="000000" w:themeColor="text1"/>
                <w:sz w:val="18"/>
                <w:szCs w:val="18"/>
              </w:rPr>
              <w:t>0.2</w:t>
            </w:r>
            <w:r w:rsidRPr="00042E1E">
              <w:rPr>
                <w:rFonts w:ascii="Arial" w:hAnsi="Arial" w:cs="Arial"/>
                <w:color w:val="000000" w:themeColor="text1"/>
                <w:sz w:val="18"/>
                <w:szCs w:val="18"/>
              </w:rPr>
              <w:t>%</w:t>
            </w:r>
          </w:p>
        </w:tc>
      </w:tr>
      <w:tr w:rsidR="00EC1479" w:rsidRPr="00956854" w14:paraId="3006F0F0"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1346138D" w14:textId="77777777" w:rsidR="00EC1479" w:rsidRPr="000372DF" w:rsidRDefault="00EC1479" w:rsidP="00EC1479">
            <w:pPr>
              <w:pStyle w:val="NoSpacing"/>
              <w:rPr>
                <w:rFonts w:ascii="Arial" w:hAnsi="Arial" w:cs="Arial"/>
                <w:b w:val="0"/>
                <w:bCs w:val="0"/>
                <w:color w:val="000000" w:themeColor="text1"/>
                <w:sz w:val="18"/>
                <w:szCs w:val="18"/>
              </w:rPr>
            </w:pPr>
            <w:r w:rsidRPr="000372DF">
              <w:rPr>
                <w:rFonts w:ascii="Arial" w:hAnsi="Arial" w:cs="Arial"/>
                <w:b w:val="0"/>
                <w:bCs w:val="0"/>
                <w:color w:val="000000" w:themeColor="text1"/>
                <w:sz w:val="18"/>
                <w:szCs w:val="18"/>
              </w:rPr>
              <w:t>Pre-sliced</w:t>
            </w:r>
          </w:p>
        </w:tc>
        <w:tc>
          <w:tcPr>
            <w:tcW w:w="990" w:type="dxa"/>
            <w:gridSpan w:val="2"/>
            <w:tcBorders>
              <w:top w:val="nil"/>
              <w:left w:val="nil"/>
              <w:bottom w:val="nil"/>
              <w:right w:val="nil"/>
            </w:tcBorders>
          </w:tcPr>
          <w:p w14:paraId="0268BC01" w14:textId="6F2A73AF"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886FC7">
              <w:rPr>
                <w:rFonts w:ascii="Arial" w:hAnsi="Arial" w:cs="Arial"/>
                <w:color w:val="auto"/>
                <w:sz w:val="18"/>
                <w:szCs w:val="18"/>
              </w:rPr>
              <w:t>$</w:t>
            </w:r>
            <w:r w:rsidR="00BD16A8">
              <w:rPr>
                <w:rFonts w:ascii="Arial" w:hAnsi="Arial" w:cs="Arial"/>
                <w:color w:val="auto"/>
                <w:sz w:val="18"/>
                <w:szCs w:val="18"/>
              </w:rPr>
              <w:t>59</w:t>
            </w:r>
            <w:r w:rsidRPr="00886FC7">
              <w:rPr>
                <w:rFonts w:ascii="Arial" w:hAnsi="Arial" w:cs="Arial"/>
                <w:color w:val="auto"/>
                <w:sz w:val="18"/>
                <w:szCs w:val="18"/>
              </w:rPr>
              <w:t>M</w:t>
            </w:r>
          </w:p>
        </w:tc>
        <w:tc>
          <w:tcPr>
            <w:tcW w:w="1075" w:type="dxa"/>
            <w:tcBorders>
              <w:top w:val="nil"/>
              <w:left w:val="nil"/>
              <w:bottom w:val="nil"/>
              <w:right w:val="nil"/>
            </w:tcBorders>
            <w:vAlign w:val="center"/>
          </w:tcPr>
          <w:p w14:paraId="07011330" w14:textId="351187D7" w:rsidR="00EC1479" w:rsidRPr="003A064B"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A1569">
              <w:rPr>
                <w:rFonts w:ascii="Arial" w:hAnsi="Arial" w:cs="Arial"/>
                <w:color w:val="000000" w:themeColor="text1"/>
                <w:sz w:val="18"/>
                <w:szCs w:val="18"/>
              </w:rPr>
              <w:t>+</w:t>
            </w:r>
            <w:r w:rsidR="00BD16A8">
              <w:rPr>
                <w:rFonts w:ascii="Arial" w:hAnsi="Arial" w:cs="Arial"/>
                <w:color w:val="000000" w:themeColor="text1"/>
                <w:sz w:val="18"/>
                <w:szCs w:val="18"/>
              </w:rPr>
              <w:t>6.9</w:t>
            </w:r>
            <w:r w:rsidRPr="00AA1569">
              <w:rPr>
                <w:rFonts w:ascii="Arial" w:hAnsi="Arial" w:cs="Arial"/>
                <w:color w:val="000000" w:themeColor="text1"/>
                <w:sz w:val="18"/>
                <w:szCs w:val="18"/>
              </w:rPr>
              <w:t>%</w:t>
            </w:r>
          </w:p>
        </w:tc>
        <w:tc>
          <w:tcPr>
            <w:tcW w:w="1333" w:type="dxa"/>
            <w:tcBorders>
              <w:top w:val="nil"/>
              <w:left w:val="nil"/>
              <w:bottom w:val="nil"/>
              <w:right w:val="single" w:sz="4" w:space="0" w:color="auto"/>
            </w:tcBorders>
            <w:vAlign w:val="center"/>
          </w:tcPr>
          <w:p w14:paraId="4F49BAFB" w14:textId="3366A339" w:rsidR="00EC1479" w:rsidRPr="003A064B"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A1569">
              <w:rPr>
                <w:rFonts w:ascii="Arial" w:hAnsi="Arial" w:cs="Arial"/>
                <w:color w:val="000000" w:themeColor="text1"/>
                <w:sz w:val="18"/>
                <w:szCs w:val="18"/>
              </w:rPr>
              <w:t>+</w:t>
            </w:r>
            <w:r w:rsidR="00BD16A8">
              <w:rPr>
                <w:rFonts w:ascii="Arial" w:hAnsi="Arial" w:cs="Arial"/>
                <w:color w:val="000000" w:themeColor="text1"/>
                <w:sz w:val="18"/>
                <w:szCs w:val="18"/>
              </w:rPr>
              <w:t>6.1</w:t>
            </w:r>
            <w:r w:rsidRPr="00AA1569">
              <w:rPr>
                <w:rFonts w:ascii="Arial" w:hAnsi="Arial" w:cs="Arial"/>
                <w:color w:val="000000" w:themeColor="text1"/>
                <w:sz w:val="18"/>
                <w:szCs w:val="18"/>
              </w:rPr>
              <w:t>%</w:t>
            </w:r>
          </w:p>
        </w:tc>
        <w:tc>
          <w:tcPr>
            <w:tcW w:w="1732" w:type="dxa"/>
            <w:gridSpan w:val="2"/>
            <w:tcBorders>
              <w:top w:val="nil"/>
              <w:left w:val="single" w:sz="4" w:space="0" w:color="auto"/>
              <w:bottom w:val="nil"/>
              <w:right w:val="nil"/>
            </w:tcBorders>
            <w:vAlign w:val="center"/>
          </w:tcPr>
          <w:p w14:paraId="5A9715E6" w14:textId="77777777" w:rsidR="00EC1479" w:rsidRPr="000372DF"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372DF">
              <w:rPr>
                <w:rFonts w:ascii="Arial" w:hAnsi="Arial" w:cs="Arial"/>
                <w:color w:val="000000" w:themeColor="text1"/>
                <w:sz w:val="18"/>
                <w:szCs w:val="18"/>
              </w:rPr>
              <w:t>Pre-sliced</w:t>
            </w:r>
          </w:p>
        </w:tc>
        <w:tc>
          <w:tcPr>
            <w:tcW w:w="934" w:type="dxa"/>
            <w:tcBorders>
              <w:top w:val="nil"/>
              <w:left w:val="nil"/>
              <w:bottom w:val="nil"/>
              <w:right w:val="nil"/>
            </w:tcBorders>
            <w:vAlign w:val="center"/>
          </w:tcPr>
          <w:p w14:paraId="71300A98" w14:textId="19FCB8AA" w:rsidR="00EC1479" w:rsidRPr="000372DF"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BD16A8">
              <w:rPr>
                <w:rFonts w:ascii="Arial" w:hAnsi="Arial" w:cs="Arial"/>
                <w:color w:val="000000" w:themeColor="text1"/>
                <w:sz w:val="18"/>
                <w:szCs w:val="18"/>
              </w:rPr>
              <w:t>725</w:t>
            </w:r>
            <w:r w:rsidRPr="000372DF">
              <w:rPr>
                <w:rFonts w:ascii="Arial" w:hAnsi="Arial" w:cs="Arial"/>
                <w:color w:val="000000" w:themeColor="text1"/>
                <w:sz w:val="18"/>
                <w:szCs w:val="18"/>
              </w:rPr>
              <w:t>M</w:t>
            </w:r>
          </w:p>
        </w:tc>
        <w:tc>
          <w:tcPr>
            <w:tcW w:w="1333" w:type="dxa"/>
            <w:tcBorders>
              <w:top w:val="nil"/>
              <w:left w:val="nil"/>
              <w:bottom w:val="nil"/>
              <w:right w:val="nil"/>
            </w:tcBorders>
          </w:tcPr>
          <w:p w14:paraId="5B135497" w14:textId="444E1EE8" w:rsidR="00EC1479" w:rsidRPr="000372DF" w:rsidRDefault="00BD16A8"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+1.1</w:t>
            </w:r>
            <w:r w:rsidR="00EC1479" w:rsidRPr="00042E1E">
              <w:rPr>
                <w:rFonts w:ascii="Arial" w:hAnsi="Arial" w:cs="Arial"/>
                <w:color w:val="000000" w:themeColor="text1"/>
                <w:sz w:val="18"/>
                <w:szCs w:val="18"/>
              </w:rPr>
              <w:t>%</w:t>
            </w:r>
          </w:p>
        </w:tc>
        <w:tc>
          <w:tcPr>
            <w:tcW w:w="1333" w:type="dxa"/>
            <w:tcBorders>
              <w:top w:val="nil"/>
              <w:left w:val="nil"/>
              <w:bottom w:val="nil"/>
            </w:tcBorders>
          </w:tcPr>
          <w:p w14:paraId="0FA109F0" w14:textId="662A9496" w:rsidR="00EC1479" w:rsidRPr="000372DF"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42E1E">
              <w:rPr>
                <w:rFonts w:ascii="Arial" w:hAnsi="Arial" w:cs="Arial"/>
                <w:color w:val="000000" w:themeColor="text1"/>
                <w:sz w:val="18"/>
                <w:szCs w:val="18"/>
              </w:rPr>
              <w:t>-</w:t>
            </w:r>
            <w:r w:rsidR="00BD16A8">
              <w:rPr>
                <w:rFonts w:ascii="Arial" w:hAnsi="Arial" w:cs="Arial"/>
                <w:color w:val="000000" w:themeColor="text1"/>
                <w:sz w:val="18"/>
                <w:szCs w:val="18"/>
              </w:rPr>
              <w:t>0.3</w:t>
            </w:r>
            <w:r w:rsidRPr="00042E1E">
              <w:rPr>
                <w:rFonts w:ascii="Arial" w:hAnsi="Arial" w:cs="Arial"/>
                <w:color w:val="000000" w:themeColor="text1"/>
                <w:sz w:val="18"/>
                <w:szCs w:val="18"/>
              </w:rPr>
              <w:t>%</w:t>
            </w:r>
          </w:p>
        </w:tc>
      </w:tr>
      <w:tr w:rsidR="00EC1479" w:rsidRPr="00956854" w14:paraId="0734DEC5"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1555FC3C" w14:textId="77777777" w:rsidR="00EC1479" w:rsidRPr="000372DF" w:rsidRDefault="00EC1479" w:rsidP="00EC1479">
            <w:pPr>
              <w:pStyle w:val="NoSpacing"/>
              <w:rPr>
                <w:rFonts w:ascii="Arial" w:hAnsi="Arial" w:cs="Arial"/>
                <w:b w:val="0"/>
                <w:bCs w:val="0"/>
                <w:color w:val="000000" w:themeColor="text1"/>
                <w:sz w:val="18"/>
                <w:szCs w:val="18"/>
              </w:rPr>
            </w:pPr>
            <w:r w:rsidRPr="000372DF">
              <w:rPr>
                <w:rFonts w:ascii="Arial" w:hAnsi="Arial" w:cs="Arial"/>
                <w:b w:val="0"/>
                <w:bCs w:val="0"/>
                <w:color w:val="000000" w:themeColor="text1"/>
                <w:sz w:val="18"/>
                <w:szCs w:val="18"/>
              </w:rPr>
              <w:t>Service</w:t>
            </w:r>
          </w:p>
        </w:tc>
        <w:tc>
          <w:tcPr>
            <w:tcW w:w="990" w:type="dxa"/>
            <w:gridSpan w:val="2"/>
            <w:tcBorders>
              <w:top w:val="nil"/>
              <w:bottom w:val="nil"/>
            </w:tcBorders>
            <w:shd w:val="clear" w:color="auto" w:fill="D9D9D9" w:themeFill="background1" w:themeFillShade="D9"/>
          </w:tcPr>
          <w:p w14:paraId="1EBA437E" w14:textId="340DC738"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886FC7">
              <w:rPr>
                <w:rFonts w:ascii="Arial" w:hAnsi="Arial" w:cs="Arial"/>
                <w:color w:val="auto"/>
                <w:sz w:val="18"/>
                <w:szCs w:val="18"/>
              </w:rPr>
              <w:t>$</w:t>
            </w:r>
            <w:r w:rsidR="00BD16A8">
              <w:rPr>
                <w:rFonts w:ascii="Arial" w:hAnsi="Arial" w:cs="Arial"/>
                <w:color w:val="auto"/>
                <w:sz w:val="18"/>
                <w:szCs w:val="18"/>
              </w:rPr>
              <w:t>82</w:t>
            </w:r>
            <w:r w:rsidRPr="00886FC7">
              <w:rPr>
                <w:rFonts w:ascii="Arial" w:hAnsi="Arial" w:cs="Arial"/>
                <w:color w:val="auto"/>
                <w:sz w:val="18"/>
                <w:szCs w:val="18"/>
              </w:rPr>
              <w:t>M</w:t>
            </w:r>
          </w:p>
        </w:tc>
        <w:tc>
          <w:tcPr>
            <w:tcW w:w="1075" w:type="dxa"/>
            <w:tcBorders>
              <w:top w:val="nil"/>
              <w:bottom w:val="nil"/>
            </w:tcBorders>
            <w:shd w:val="clear" w:color="auto" w:fill="D9D9D9" w:themeFill="background1" w:themeFillShade="D9"/>
            <w:vAlign w:val="center"/>
          </w:tcPr>
          <w:p w14:paraId="6ABC0D5D" w14:textId="4E82BC43" w:rsidR="00EC1479" w:rsidRPr="003A064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BD16A8">
              <w:rPr>
                <w:rFonts w:ascii="Arial" w:hAnsi="Arial" w:cs="Arial"/>
                <w:color w:val="000000" w:themeColor="text1"/>
                <w:sz w:val="18"/>
                <w:szCs w:val="18"/>
              </w:rPr>
              <w:t>3.7</w:t>
            </w:r>
            <w:r w:rsidRPr="003A064B">
              <w:rPr>
                <w:rFonts w:ascii="Arial" w:hAnsi="Arial" w:cs="Arial"/>
                <w:color w:val="000000" w:themeColor="text1"/>
                <w:sz w:val="18"/>
                <w:szCs w:val="18"/>
              </w:rPr>
              <w:t>%</w:t>
            </w:r>
          </w:p>
        </w:tc>
        <w:tc>
          <w:tcPr>
            <w:tcW w:w="1333" w:type="dxa"/>
            <w:tcBorders>
              <w:top w:val="nil"/>
              <w:bottom w:val="nil"/>
              <w:right w:val="single" w:sz="4" w:space="0" w:color="auto"/>
            </w:tcBorders>
            <w:shd w:val="clear" w:color="auto" w:fill="D9D9D9" w:themeFill="background1" w:themeFillShade="D9"/>
            <w:vAlign w:val="center"/>
          </w:tcPr>
          <w:p w14:paraId="4B59ABC2" w14:textId="2D7BCC8E" w:rsidR="00EC1479" w:rsidRPr="003A064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BD16A8">
              <w:rPr>
                <w:rFonts w:ascii="Arial" w:hAnsi="Arial" w:cs="Arial"/>
                <w:color w:val="000000" w:themeColor="text1"/>
                <w:sz w:val="18"/>
                <w:szCs w:val="18"/>
              </w:rPr>
              <w:t>4.9</w:t>
            </w:r>
            <w:r w:rsidRPr="003A064B">
              <w:rPr>
                <w:rFonts w:ascii="Arial" w:hAnsi="Arial" w:cs="Arial"/>
                <w:color w:val="000000" w:themeColor="text1"/>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4A1F1ECC" w14:textId="77777777" w:rsidR="00EC1479" w:rsidRPr="000372DF"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372DF">
              <w:rPr>
                <w:rFonts w:ascii="Arial" w:hAnsi="Arial" w:cs="Arial"/>
                <w:color w:val="000000" w:themeColor="text1"/>
                <w:sz w:val="18"/>
                <w:szCs w:val="18"/>
              </w:rPr>
              <w:t>Service</w:t>
            </w:r>
          </w:p>
        </w:tc>
        <w:tc>
          <w:tcPr>
            <w:tcW w:w="934" w:type="dxa"/>
            <w:tcBorders>
              <w:top w:val="nil"/>
              <w:bottom w:val="nil"/>
            </w:tcBorders>
            <w:shd w:val="clear" w:color="auto" w:fill="D9D9D9" w:themeFill="background1" w:themeFillShade="D9"/>
            <w:vAlign w:val="center"/>
          </w:tcPr>
          <w:p w14:paraId="26ED527A" w14:textId="712E5338" w:rsidR="00EC1479" w:rsidRPr="000372DF"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71DB4">
              <w:rPr>
                <w:rFonts w:ascii="Arial" w:hAnsi="Arial" w:cs="Arial"/>
                <w:color w:val="auto"/>
                <w:sz w:val="18"/>
                <w:szCs w:val="18"/>
              </w:rPr>
              <w:t>$</w:t>
            </w:r>
            <w:r w:rsidR="00BD16A8">
              <w:rPr>
                <w:rFonts w:ascii="Arial" w:hAnsi="Arial" w:cs="Arial"/>
                <w:color w:val="auto"/>
                <w:sz w:val="18"/>
                <w:szCs w:val="18"/>
              </w:rPr>
              <w:t>1.0</w:t>
            </w:r>
            <w:r w:rsidRPr="00271DB4">
              <w:rPr>
                <w:rFonts w:ascii="Arial" w:hAnsi="Arial" w:cs="Arial"/>
                <w:color w:val="auto"/>
                <w:sz w:val="18"/>
                <w:szCs w:val="18"/>
              </w:rPr>
              <w:t>B</w:t>
            </w:r>
          </w:p>
        </w:tc>
        <w:tc>
          <w:tcPr>
            <w:tcW w:w="1333" w:type="dxa"/>
            <w:tcBorders>
              <w:top w:val="nil"/>
              <w:bottom w:val="nil"/>
            </w:tcBorders>
            <w:shd w:val="clear" w:color="auto" w:fill="D9D9D9" w:themeFill="background1" w:themeFillShade="D9"/>
          </w:tcPr>
          <w:p w14:paraId="7981C80A" w14:textId="131729F8" w:rsidR="00EC1479" w:rsidRPr="000372DF"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42E1E">
              <w:rPr>
                <w:rFonts w:ascii="Arial" w:hAnsi="Arial" w:cs="Arial"/>
                <w:color w:val="000000" w:themeColor="text1"/>
                <w:sz w:val="18"/>
                <w:szCs w:val="18"/>
              </w:rPr>
              <w:t>-</w:t>
            </w:r>
            <w:r w:rsidR="00BD16A8">
              <w:rPr>
                <w:rFonts w:ascii="Arial" w:hAnsi="Arial" w:cs="Arial"/>
                <w:color w:val="000000" w:themeColor="text1"/>
                <w:sz w:val="18"/>
                <w:szCs w:val="18"/>
              </w:rPr>
              <w:t>7.5</w:t>
            </w:r>
            <w:r w:rsidRPr="00042E1E">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02E430E8" w14:textId="72473C48" w:rsidR="00EC1479" w:rsidRPr="000372DF"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42E1E">
              <w:rPr>
                <w:rFonts w:ascii="Arial" w:hAnsi="Arial" w:cs="Arial"/>
                <w:color w:val="000000" w:themeColor="text1"/>
                <w:sz w:val="18"/>
                <w:szCs w:val="18"/>
              </w:rPr>
              <w:t>-</w:t>
            </w:r>
            <w:r w:rsidR="00BD16A8">
              <w:rPr>
                <w:rFonts w:ascii="Arial" w:hAnsi="Arial" w:cs="Arial"/>
                <w:color w:val="000000" w:themeColor="text1"/>
                <w:sz w:val="18"/>
                <w:szCs w:val="18"/>
              </w:rPr>
              <w:t>6.5</w:t>
            </w:r>
            <w:r w:rsidRPr="00042E1E">
              <w:rPr>
                <w:rFonts w:ascii="Arial" w:hAnsi="Arial" w:cs="Arial"/>
                <w:color w:val="000000" w:themeColor="text1"/>
                <w:sz w:val="18"/>
                <w:szCs w:val="18"/>
              </w:rPr>
              <w:t>%</w:t>
            </w:r>
          </w:p>
        </w:tc>
      </w:tr>
      <w:tr w:rsidR="008C536A" w:rsidRPr="00956854" w14:paraId="11C0ACBA" w14:textId="77777777" w:rsidTr="008C536A">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1252DEAC" w14:textId="77777777" w:rsidR="008C536A" w:rsidRPr="000372DF" w:rsidRDefault="008C536A" w:rsidP="008C536A">
            <w:pPr>
              <w:pStyle w:val="NoSpacing"/>
              <w:rPr>
                <w:rFonts w:ascii="Arial" w:hAnsi="Arial" w:cs="Arial"/>
                <w:b w:val="0"/>
                <w:bCs w:val="0"/>
                <w:color w:val="000000" w:themeColor="text1"/>
                <w:sz w:val="18"/>
                <w:szCs w:val="18"/>
              </w:rPr>
            </w:pPr>
            <w:r w:rsidRPr="000372DF">
              <w:rPr>
                <w:rFonts w:ascii="Arial" w:hAnsi="Arial" w:cs="Arial"/>
                <w:b w:val="0"/>
                <w:bCs w:val="0"/>
                <w:color w:val="000000" w:themeColor="text1"/>
                <w:sz w:val="18"/>
                <w:szCs w:val="18"/>
              </w:rPr>
              <w:t>Specialty</w:t>
            </w:r>
          </w:p>
        </w:tc>
        <w:tc>
          <w:tcPr>
            <w:tcW w:w="990" w:type="dxa"/>
            <w:gridSpan w:val="2"/>
            <w:tcBorders>
              <w:top w:val="nil"/>
              <w:bottom w:val="nil"/>
            </w:tcBorders>
          </w:tcPr>
          <w:p w14:paraId="10353250" w14:textId="11217E00" w:rsidR="008C536A" w:rsidRPr="000D0537"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886FC7">
              <w:rPr>
                <w:rFonts w:ascii="Arial" w:hAnsi="Arial" w:cs="Arial"/>
                <w:color w:val="auto"/>
                <w:sz w:val="18"/>
                <w:szCs w:val="18"/>
              </w:rPr>
              <w:t>$</w:t>
            </w:r>
            <w:r w:rsidR="00BD16A8">
              <w:rPr>
                <w:rFonts w:ascii="Arial" w:hAnsi="Arial" w:cs="Arial"/>
                <w:color w:val="auto"/>
                <w:sz w:val="18"/>
                <w:szCs w:val="18"/>
              </w:rPr>
              <w:t>522</w:t>
            </w:r>
            <w:r w:rsidRPr="00886FC7">
              <w:rPr>
                <w:rFonts w:ascii="Arial" w:hAnsi="Arial" w:cs="Arial"/>
                <w:color w:val="auto"/>
                <w:sz w:val="18"/>
                <w:szCs w:val="18"/>
              </w:rPr>
              <w:t>M</w:t>
            </w:r>
          </w:p>
        </w:tc>
        <w:tc>
          <w:tcPr>
            <w:tcW w:w="1075" w:type="dxa"/>
            <w:tcBorders>
              <w:top w:val="nil"/>
              <w:bottom w:val="nil"/>
            </w:tcBorders>
            <w:vAlign w:val="center"/>
          </w:tcPr>
          <w:p w14:paraId="63D7D661" w14:textId="61A3ABCC" w:rsidR="008C536A" w:rsidRPr="003A064B"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16AFB">
              <w:rPr>
                <w:rFonts w:ascii="Arial" w:hAnsi="Arial" w:cs="Arial"/>
                <w:color w:val="000000" w:themeColor="text1"/>
                <w:sz w:val="18"/>
                <w:szCs w:val="18"/>
              </w:rPr>
              <w:t>+</w:t>
            </w:r>
            <w:r w:rsidR="00BD16A8">
              <w:rPr>
                <w:rFonts w:ascii="Arial" w:hAnsi="Arial" w:cs="Arial"/>
                <w:color w:val="000000" w:themeColor="text1"/>
                <w:sz w:val="18"/>
                <w:szCs w:val="18"/>
              </w:rPr>
              <w:t>7.2</w:t>
            </w:r>
            <w:r w:rsidRPr="00916AFB">
              <w:rPr>
                <w:rFonts w:ascii="Arial" w:hAnsi="Arial" w:cs="Arial"/>
                <w:color w:val="000000" w:themeColor="text1"/>
                <w:sz w:val="18"/>
                <w:szCs w:val="18"/>
              </w:rPr>
              <w:t>%</w:t>
            </w:r>
          </w:p>
        </w:tc>
        <w:tc>
          <w:tcPr>
            <w:tcW w:w="1333" w:type="dxa"/>
            <w:tcBorders>
              <w:top w:val="nil"/>
              <w:bottom w:val="nil"/>
              <w:right w:val="single" w:sz="4" w:space="0" w:color="auto"/>
            </w:tcBorders>
            <w:vAlign w:val="center"/>
          </w:tcPr>
          <w:p w14:paraId="6A4828FB" w14:textId="3F879213" w:rsidR="008C536A" w:rsidRPr="003A064B"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16AFB">
              <w:rPr>
                <w:rFonts w:ascii="Arial" w:hAnsi="Arial" w:cs="Arial"/>
                <w:color w:val="000000" w:themeColor="text1"/>
                <w:sz w:val="18"/>
                <w:szCs w:val="18"/>
              </w:rPr>
              <w:t>+</w:t>
            </w:r>
            <w:r w:rsidR="00BD16A8">
              <w:rPr>
                <w:rFonts w:ascii="Arial" w:hAnsi="Arial" w:cs="Arial"/>
                <w:color w:val="000000" w:themeColor="text1"/>
                <w:sz w:val="18"/>
                <w:szCs w:val="18"/>
              </w:rPr>
              <w:t>6.7</w:t>
            </w:r>
            <w:r w:rsidRPr="00916AFB">
              <w:rPr>
                <w:rFonts w:ascii="Arial" w:hAnsi="Arial" w:cs="Arial"/>
                <w:color w:val="000000" w:themeColor="text1"/>
                <w:sz w:val="18"/>
                <w:szCs w:val="18"/>
              </w:rPr>
              <w:t>%</w:t>
            </w:r>
          </w:p>
        </w:tc>
        <w:tc>
          <w:tcPr>
            <w:tcW w:w="1732" w:type="dxa"/>
            <w:gridSpan w:val="2"/>
            <w:tcBorders>
              <w:top w:val="nil"/>
              <w:left w:val="single" w:sz="4" w:space="0" w:color="auto"/>
              <w:bottom w:val="nil"/>
            </w:tcBorders>
            <w:vAlign w:val="center"/>
          </w:tcPr>
          <w:p w14:paraId="6D591054" w14:textId="77777777" w:rsidR="008C536A" w:rsidRPr="000372DF" w:rsidRDefault="008C536A" w:rsidP="008C536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372DF">
              <w:rPr>
                <w:rFonts w:ascii="Arial" w:hAnsi="Arial" w:cs="Arial"/>
                <w:color w:val="000000" w:themeColor="text1"/>
                <w:sz w:val="18"/>
                <w:szCs w:val="18"/>
              </w:rPr>
              <w:t>Specialty</w:t>
            </w:r>
          </w:p>
        </w:tc>
        <w:tc>
          <w:tcPr>
            <w:tcW w:w="934" w:type="dxa"/>
            <w:tcBorders>
              <w:top w:val="nil"/>
              <w:bottom w:val="nil"/>
            </w:tcBorders>
            <w:vAlign w:val="center"/>
          </w:tcPr>
          <w:p w14:paraId="0CD45CFB" w14:textId="0F414BC8" w:rsidR="008C536A" w:rsidRPr="000372DF"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71DB4">
              <w:rPr>
                <w:rFonts w:ascii="Arial" w:hAnsi="Arial" w:cs="Arial"/>
                <w:color w:val="auto"/>
                <w:sz w:val="18"/>
                <w:szCs w:val="18"/>
              </w:rPr>
              <w:t>$</w:t>
            </w:r>
            <w:r w:rsidR="00BD16A8">
              <w:rPr>
                <w:rFonts w:ascii="Arial" w:hAnsi="Arial" w:cs="Arial"/>
                <w:color w:val="auto"/>
                <w:sz w:val="18"/>
                <w:szCs w:val="18"/>
              </w:rPr>
              <w:t>6.8</w:t>
            </w:r>
            <w:r w:rsidRPr="00271DB4">
              <w:rPr>
                <w:rFonts w:ascii="Arial" w:hAnsi="Arial" w:cs="Arial"/>
                <w:color w:val="auto"/>
                <w:sz w:val="18"/>
                <w:szCs w:val="18"/>
              </w:rPr>
              <w:t>B</w:t>
            </w:r>
          </w:p>
        </w:tc>
        <w:tc>
          <w:tcPr>
            <w:tcW w:w="1333" w:type="dxa"/>
            <w:tcBorders>
              <w:top w:val="nil"/>
              <w:bottom w:val="nil"/>
            </w:tcBorders>
            <w:vAlign w:val="center"/>
          </w:tcPr>
          <w:p w14:paraId="49FFC367" w14:textId="231E422D" w:rsidR="008C536A" w:rsidRPr="000372DF"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67E21">
              <w:rPr>
                <w:rFonts w:ascii="Arial" w:hAnsi="Arial" w:cs="Arial"/>
                <w:color w:val="000000" w:themeColor="text1"/>
                <w:sz w:val="18"/>
                <w:szCs w:val="18"/>
              </w:rPr>
              <w:t>+</w:t>
            </w:r>
            <w:r w:rsidR="00BD16A8">
              <w:rPr>
                <w:rFonts w:ascii="Arial" w:hAnsi="Arial" w:cs="Arial"/>
                <w:color w:val="000000" w:themeColor="text1"/>
                <w:sz w:val="18"/>
                <w:szCs w:val="18"/>
              </w:rPr>
              <w:t>6.9</w:t>
            </w:r>
            <w:r w:rsidRPr="00A67E21">
              <w:rPr>
                <w:rFonts w:ascii="Arial" w:hAnsi="Arial" w:cs="Arial"/>
                <w:color w:val="000000" w:themeColor="text1"/>
                <w:sz w:val="18"/>
                <w:szCs w:val="18"/>
              </w:rPr>
              <w:t>%</w:t>
            </w:r>
          </w:p>
        </w:tc>
        <w:tc>
          <w:tcPr>
            <w:tcW w:w="1333" w:type="dxa"/>
            <w:tcBorders>
              <w:top w:val="nil"/>
              <w:bottom w:val="nil"/>
            </w:tcBorders>
            <w:vAlign w:val="center"/>
          </w:tcPr>
          <w:p w14:paraId="73F8256D" w14:textId="4CC32C15" w:rsidR="008C536A" w:rsidRPr="000372DF" w:rsidRDefault="008C536A" w:rsidP="008C536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67E21">
              <w:rPr>
                <w:rFonts w:ascii="Arial" w:hAnsi="Arial" w:cs="Arial"/>
                <w:color w:val="000000" w:themeColor="text1"/>
                <w:sz w:val="18"/>
                <w:szCs w:val="18"/>
              </w:rPr>
              <w:t>+</w:t>
            </w:r>
            <w:r w:rsidR="00BD16A8">
              <w:rPr>
                <w:rFonts w:ascii="Arial" w:hAnsi="Arial" w:cs="Arial"/>
                <w:color w:val="000000" w:themeColor="text1"/>
                <w:sz w:val="18"/>
                <w:szCs w:val="18"/>
              </w:rPr>
              <w:t>7.5</w:t>
            </w:r>
            <w:r w:rsidRPr="00A67E21">
              <w:rPr>
                <w:rFonts w:ascii="Arial" w:hAnsi="Arial" w:cs="Arial"/>
                <w:color w:val="000000" w:themeColor="text1"/>
                <w:sz w:val="18"/>
                <w:szCs w:val="18"/>
              </w:rPr>
              <w:t>%</w:t>
            </w:r>
          </w:p>
        </w:tc>
      </w:tr>
    </w:tbl>
    <w:p w14:paraId="0E302463" w14:textId="77777777" w:rsidR="00435FCB" w:rsidRDefault="00435FCB" w:rsidP="00A03097">
      <w:pPr>
        <w:pStyle w:val="NoSpacing"/>
        <w:rPr>
          <w:rFonts w:ascii="Arial" w:hAnsi="Arial" w:cs="Arial"/>
          <w:color w:val="7F7F7F" w:themeColor="text1" w:themeTint="80"/>
          <w:sz w:val="16"/>
          <w:szCs w:val="16"/>
        </w:rPr>
      </w:pPr>
    </w:p>
    <w:p w14:paraId="27AF253A" w14:textId="3E60447C" w:rsidR="00A03097" w:rsidRPr="00AA0E2A" w:rsidRDefault="00A03097" w:rsidP="00A03097">
      <w:pPr>
        <w:pStyle w:val="NoSpacing"/>
        <w:rPr>
          <w:rFonts w:ascii="Arial" w:hAnsi="Arial" w:cs="Arial"/>
          <w:color w:val="7F7F7F" w:themeColor="text1" w:themeTint="80"/>
          <w:sz w:val="16"/>
          <w:szCs w:val="16"/>
        </w:rPr>
      </w:pPr>
      <w:r w:rsidRPr="00AA0E2A">
        <w:rPr>
          <w:rFonts w:ascii="Arial" w:hAnsi="Arial" w:cs="Arial"/>
          <w:color w:val="7F7F7F" w:themeColor="text1" w:themeTint="80"/>
          <w:sz w:val="16"/>
          <w:szCs w:val="16"/>
        </w:rPr>
        <w:t xml:space="preserve">Source: </w:t>
      </w:r>
      <w:proofErr w:type="spellStart"/>
      <w:r w:rsidRPr="00AA0E2A">
        <w:rPr>
          <w:rFonts w:ascii="Arial" w:hAnsi="Arial" w:cs="Arial"/>
          <w:color w:val="7F7F7F" w:themeColor="text1" w:themeTint="80"/>
          <w:sz w:val="16"/>
          <w:szCs w:val="16"/>
        </w:rPr>
        <w:t>Circana</w:t>
      </w:r>
      <w:proofErr w:type="spellEnd"/>
      <w:r w:rsidRPr="00AA0E2A">
        <w:rPr>
          <w:rFonts w:ascii="Arial" w:hAnsi="Arial" w:cs="Arial"/>
          <w:color w:val="7F7F7F" w:themeColor="text1" w:themeTint="80"/>
          <w:sz w:val="16"/>
          <w:szCs w:val="16"/>
        </w:rPr>
        <w:t xml:space="preserve">, Total US, </w:t>
      </w:r>
      <w:r>
        <w:rPr>
          <w:rFonts w:ascii="Arial" w:hAnsi="Arial" w:cs="Arial"/>
          <w:color w:val="7F7F7F" w:themeColor="text1" w:themeTint="80"/>
          <w:sz w:val="16"/>
          <w:szCs w:val="16"/>
        </w:rPr>
        <w:t>MULO+</w:t>
      </w:r>
      <w:r w:rsidRPr="00AA0E2A">
        <w:rPr>
          <w:rFonts w:ascii="Arial" w:hAnsi="Arial" w:cs="Arial"/>
          <w:color w:val="7F7F7F" w:themeColor="text1" w:themeTint="80"/>
          <w:sz w:val="16"/>
          <w:szCs w:val="16"/>
        </w:rPr>
        <w:t xml:space="preserve">, Integrated Fresh </w:t>
      </w:r>
    </w:p>
    <w:p w14:paraId="0533EAC1" w14:textId="77777777" w:rsidR="00A03097" w:rsidRDefault="00A03097" w:rsidP="00A03097">
      <w:pPr>
        <w:rPr>
          <w:rFonts w:ascii="Arial" w:hAnsi="Arial" w:cs="Arial"/>
          <w:b/>
          <w:color w:val="595959" w:themeColor="text1" w:themeTint="A6"/>
          <w:sz w:val="20"/>
          <w:szCs w:val="24"/>
        </w:rPr>
      </w:pPr>
    </w:p>
    <w:p w14:paraId="7DD115BE" w14:textId="77777777" w:rsidR="00AE4240" w:rsidRDefault="00AE4240">
      <w:pPr>
        <w:rPr>
          <w:rFonts w:ascii="Arial" w:hAnsi="Arial" w:cs="Arial"/>
          <w:b/>
          <w:color w:val="595959" w:themeColor="text1" w:themeTint="A6"/>
          <w:sz w:val="20"/>
          <w:szCs w:val="24"/>
        </w:rPr>
      </w:pPr>
      <w:r>
        <w:rPr>
          <w:rFonts w:ascii="Arial" w:hAnsi="Arial" w:cs="Arial"/>
          <w:b/>
          <w:color w:val="595959" w:themeColor="text1" w:themeTint="A6"/>
          <w:sz w:val="20"/>
          <w:szCs w:val="24"/>
        </w:rPr>
        <w:br w:type="page"/>
      </w:r>
    </w:p>
    <w:p w14:paraId="33C1A8EF" w14:textId="2938DAE1" w:rsidR="00A03097" w:rsidRPr="00AE4240" w:rsidRDefault="00A03097" w:rsidP="00A03097">
      <w:pPr>
        <w:spacing w:after="0"/>
        <w:rPr>
          <w:rFonts w:ascii="Arial" w:hAnsi="Arial" w:cs="Arial"/>
          <w:b/>
          <w:color w:val="595959" w:themeColor="text1" w:themeTint="A6"/>
          <w:szCs w:val="28"/>
        </w:rPr>
      </w:pPr>
      <w:r w:rsidRPr="00AE4240">
        <w:rPr>
          <w:rFonts w:ascii="Arial" w:hAnsi="Arial" w:cs="Arial"/>
          <w:b/>
          <w:color w:val="595959" w:themeColor="text1" w:themeTint="A6"/>
          <w:szCs w:val="28"/>
        </w:rPr>
        <w:lastRenderedPageBreak/>
        <w:t>Deli Entertaining</w:t>
      </w:r>
    </w:p>
    <w:p w14:paraId="277AA2DB" w14:textId="5A324440" w:rsidR="00A03097" w:rsidRDefault="00097D90" w:rsidP="00A03097">
      <w:pPr>
        <w:pStyle w:val="NoSpacing"/>
        <w:rPr>
          <w:rFonts w:ascii="Arial" w:hAnsi="Arial" w:cs="Arial"/>
          <w:sz w:val="20"/>
          <w:szCs w:val="20"/>
        </w:rPr>
      </w:pPr>
      <w:r>
        <w:rPr>
          <w:rFonts w:ascii="Arial" w:hAnsi="Arial" w:cs="Arial"/>
          <w:sz w:val="20"/>
          <w:szCs w:val="20"/>
        </w:rPr>
        <w:t xml:space="preserve">The categories in deli entertaining had a very mixed performance in </w:t>
      </w:r>
      <w:r w:rsidR="000A2703">
        <w:rPr>
          <w:rFonts w:ascii="Arial" w:hAnsi="Arial" w:cs="Arial"/>
          <w:sz w:val="20"/>
          <w:szCs w:val="20"/>
        </w:rPr>
        <w:t>June</w:t>
      </w:r>
      <w:r>
        <w:rPr>
          <w:rFonts w:ascii="Arial" w:hAnsi="Arial" w:cs="Arial"/>
          <w:sz w:val="20"/>
          <w:szCs w:val="20"/>
        </w:rPr>
        <w:t xml:space="preserve">. Whereas trays show large gains, growth for dips/sauces and spreads was flat </w:t>
      </w:r>
      <w:r w:rsidR="00607CEC">
        <w:rPr>
          <w:rFonts w:ascii="Arial" w:hAnsi="Arial" w:cs="Arial"/>
          <w:sz w:val="20"/>
          <w:szCs w:val="20"/>
        </w:rPr>
        <w:t>and</w:t>
      </w:r>
      <w:r>
        <w:rPr>
          <w:rFonts w:ascii="Arial" w:hAnsi="Arial" w:cs="Arial"/>
          <w:sz w:val="20"/>
          <w:szCs w:val="20"/>
        </w:rPr>
        <w:t xml:space="preserve"> down. This pattern repeats in the 52-week view. </w:t>
      </w:r>
    </w:p>
    <w:p w14:paraId="26C670B8" w14:textId="77777777" w:rsidR="00A03097" w:rsidRDefault="00A03097" w:rsidP="00A03097">
      <w:pPr>
        <w:pStyle w:val="NoSpacing"/>
        <w:rPr>
          <w:rFonts w:ascii="Arial"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934"/>
        <w:gridCol w:w="1333"/>
        <w:gridCol w:w="1333"/>
      </w:tblGrid>
      <w:tr w:rsidR="00A03097" w:rsidRPr="0003007F" w14:paraId="10303A43" w14:textId="77777777" w:rsidTr="00A74DC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25DF0F6C" w14:textId="77777777" w:rsidR="00A03097" w:rsidRPr="00AB1306" w:rsidRDefault="00A03097" w:rsidP="000D0537">
            <w:pPr>
              <w:pStyle w:val="NoSpacing"/>
              <w:rPr>
                <w:rFonts w:ascii="Arial" w:hAnsi="Arial" w:cs="Arial"/>
                <w:color w:val="FFFFFF" w:themeColor="background1"/>
                <w:sz w:val="18"/>
                <w:szCs w:val="18"/>
              </w:rPr>
            </w:pPr>
          </w:p>
        </w:tc>
        <w:tc>
          <w:tcPr>
            <w:tcW w:w="3420" w:type="dxa"/>
            <w:gridSpan w:val="5"/>
            <w:tcBorders>
              <w:top w:val="nil"/>
              <w:bottom w:val="nil"/>
            </w:tcBorders>
            <w:shd w:val="clear" w:color="auto" w:fill="0F243E" w:themeFill="text2" w:themeFillShade="80"/>
          </w:tcPr>
          <w:p w14:paraId="795F6E22" w14:textId="73CAB0F1" w:rsidR="00A03097" w:rsidRPr="00AB1306" w:rsidRDefault="000A2703" w:rsidP="00A74D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June</w:t>
            </w:r>
            <w:r w:rsidR="00401B3C">
              <w:rPr>
                <w:rFonts w:ascii="Arial" w:hAnsi="Arial" w:cs="Arial"/>
                <w:color w:val="FFFFFF" w:themeColor="background1"/>
                <w:sz w:val="18"/>
                <w:szCs w:val="18"/>
              </w:rPr>
              <w:t xml:space="preserve"> 2025</w:t>
            </w:r>
          </w:p>
        </w:tc>
        <w:tc>
          <w:tcPr>
            <w:tcW w:w="1710" w:type="dxa"/>
            <w:tcBorders>
              <w:top w:val="nil"/>
              <w:bottom w:val="nil"/>
            </w:tcBorders>
            <w:shd w:val="clear" w:color="auto" w:fill="0F243E" w:themeFill="text2" w:themeFillShade="80"/>
          </w:tcPr>
          <w:p w14:paraId="5D110EA1"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0F243E" w:themeFill="text2" w:themeFillShade="80"/>
          </w:tcPr>
          <w:p w14:paraId="726B0F20" w14:textId="77777777" w:rsidR="00A03097" w:rsidRPr="0003007F"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A03097" w:rsidRPr="002A3B9B" w14:paraId="6670F4CA" w14:textId="77777777" w:rsidTr="000D053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0F243E" w:themeFill="text2" w:themeFillShade="80"/>
          </w:tcPr>
          <w:p w14:paraId="2537C4BA"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Deli entertaining</w:t>
            </w:r>
          </w:p>
        </w:tc>
        <w:tc>
          <w:tcPr>
            <w:tcW w:w="900" w:type="dxa"/>
            <w:tcBorders>
              <w:top w:val="nil"/>
              <w:bottom w:val="nil"/>
            </w:tcBorders>
            <w:shd w:val="clear" w:color="auto" w:fill="0F243E" w:themeFill="text2" w:themeFillShade="80"/>
          </w:tcPr>
          <w:p w14:paraId="6782E9BC"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165" w:type="dxa"/>
            <w:gridSpan w:val="2"/>
            <w:tcBorders>
              <w:top w:val="nil"/>
              <w:bottom w:val="nil"/>
            </w:tcBorders>
            <w:shd w:val="clear" w:color="auto" w:fill="0F243E" w:themeFill="text2" w:themeFillShade="80"/>
          </w:tcPr>
          <w:p w14:paraId="244DCD28" w14:textId="77777777" w:rsidR="00A03097" w:rsidRPr="002A3B9B"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right w:val="single" w:sz="4" w:space="0" w:color="auto"/>
            </w:tcBorders>
            <w:shd w:val="clear" w:color="auto" w:fill="0F243E" w:themeFill="text2" w:themeFillShade="80"/>
          </w:tcPr>
          <w:p w14:paraId="57C434AC"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c>
          <w:tcPr>
            <w:tcW w:w="1732" w:type="dxa"/>
            <w:gridSpan w:val="2"/>
            <w:tcBorders>
              <w:top w:val="nil"/>
              <w:left w:val="single" w:sz="4" w:space="0" w:color="auto"/>
              <w:bottom w:val="nil"/>
            </w:tcBorders>
            <w:shd w:val="clear" w:color="auto" w:fill="0F243E" w:themeFill="text2" w:themeFillShade="80"/>
          </w:tcPr>
          <w:p w14:paraId="1D258CB8"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44942757"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3" w:type="dxa"/>
            <w:tcBorders>
              <w:top w:val="nil"/>
              <w:bottom w:val="nil"/>
            </w:tcBorders>
            <w:shd w:val="clear" w:color="auto" w:fill="0F243E" w:themeFill="text2" w:themeFillShade="80"/>
          </w:tcPr>
          <w:p w14:paraId="02B60CCD"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3" w:type="dxa"/>
            <w:tcBorders>
              <w:top w:val="nil"/>
              <w:bottom w:val="nil"/>
            </w:tcBorders>
            <w:shd w:val="clear" w:color="auto" w:fill="0F243E" w:themeFill="text2" w:themeFillShade="80"/>
          </w:tcPr>
          <w:p w14:paraId="1D15BFEF"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Pr>
                <w:rFonts w:ascii="Arial" w:hAnsi="Arial" w:cs="Arial"/>
                <w:b/>
                <w:bCs/>
                <w:color w:val="FFFFFF" w:themeColor="background1"/>
                <w:sz w:val="18"/>
                <w:szCs w:val="18"/>
              </w:rPr>
              <w:t>Lbs</w:t>
            </w:r>
            <w:proofErr w:type="spellEnd"/>
            <w:r>
              <w:rPr>
                <w:rFonts w:ascii="Arial" w:hAnsi="Arial" w:cs="Arial"/>
                <w:b/>
                <w:bCs/>
                <w:color w:val="FFFFFF" w:themeColor="background1"/>
                <w:sz w:val="18"/>
                <w:szCs w:val="18"/>
              </w:rPr>
              <w:t xml:space="preserve"> </w:t>
            </w:r>
            <w:r w:rsidRPr="002A3B9B">
              <w:rPr>
                <w:rFonts w:ascii="Arial" w:hAnsi="Arial" w:cs="Arial"/>
                <w:b/>
                <w:bCs/>
                <w:color w:val="FFFFFF" w:themeColor="background1"/>
                <w:sz w:val="18"/>
                <w:szCs w:val="18"/>
              </w:rPr>
              <w:t>vs. YA</w:t>
            </w:r>
          </w:p>
        </w:tc>
      </w:tr>
      <w:tr w:rsidR="00A03097" w:rsidRPr="00956854" w14:paraId="399756EE" w14:textId="77777777" w:rsidTr="00607CEC">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166BC65F" w14:textId="77777777" w:rsidR="00A03097" w:rsidRPr="00956854" w:rsidRDefault="00A03097" w:rsidP="000D0537">
            <w:pPr>
              <w:pStyle w:val="NoSpacing"/>
              <w:rPr>
                <w:rFonts w:ascii="Arial" w:hAnsi="Arial" w:cs="Arial"/>
                <w:color w:val="000000" w:themeColor="text1"/>
                <w:sz w:val="18"/>
                <w:szCs w:val="18"/>
              </w:rPr>
            </w:pPr>
            <w:r w:rsidRPr="00956854">
              <w:rPr>
                <w:rFonts w:ascii="Arial" w:hAnsi="Arial" w:cs="Arial"/>
                <w:color w:val="000000" w:themeColor="text1"/>
                <w:sz w:val="18"/>
                <w:szCs w:val="18"/>
              </w:rPr>
              <w:t>Deli entertaining</w:t>
            </w:r>
          </w:p>
        </w:tc>
        <w:tc>
          <w:tcPr>
            <w:tcW w:w="990" w:type="dxa"/>
            <w:gridSpan w:val="2"/>
            <w:tcBorders>
              <w:top w:val="nil"/>
              <w:left w:val="nil"/>
              <w:bottom w:val="nil"/>
              <w:right w:val="nil"/>
            </w:tcBorders>
            <w:vAlign w:val="center"/>
          </w:tcPr>
          <w:p w14:paraId="3FA5EDF3" w14:textId="151E2C1F" w:rsidR="00A03097" w:rsidRPr="00B72AC8" w:rsidRDefault="00A03097" w:rsidP="00607C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B72AC8">
              <w:rPr>
                <w:rFonts w:ascii="Arial" w:hAnsi="Arial" w:cs="Arial"/>
                <w:b/>
                <w:bCs/>
                <w:color w:val="000000" w:themeColor="text1"/>
                <w:sz w:val="18"/>
                <w:szCs w:val="18"/>
              </w:rPr>
              <w:t>$</w:t>
            </w:r>
            <w:r w:rsidR="00C75084">
              <w:rPr>
                <w:rFonts w:ascii="Arial" w:hAnsi="Arial" w:cs="Arial"/>
                <w:b/>
                <w:bCs/>
                <w:color w:val="000000" w:themeColor="text1"/>
                <w:sz w:val="18"/>
                <w:szCs w:val="18"/>
              </w:rPr>
              <w:t>513</w:t>
            </w:r>
            <w:r w:rsidRPr="00B72AC8">
              <w:rPr>
                <w:rFonts w:ascii="Arial" w:hAnsi="Arial" w:cs="Arial"/>
                <w:b/>
                <w:bCs/>
                <w:color w:val="000000" w:themeColor="text1"/>
                <w:sz w:val="18"/>
                <w:szCs w:val="18"/>
              </w:rPr>
              <w:t>M</w:t>
            </w:r>
          </w:p>
        </w:tc>
        <w:tc>
          <w:tcPr>
            <w:tcW w:w="1075" w:type="dxa"/>
            <w:tcBorders>
              <w:top w:val="nil"/>
              <w:left w:val="nil"/>
              <w:bottom w:val="nil"/>
              <w:right w:val="nil"/>
            </w:tcBorders>
            <w:vAlign w:val="center"/>
          </w:tcPr>
          <w:p w14:paraId="5BA64909" w14:textId="4D583E6A" w:rsidR="00A03097" w:rsidRPr="00B72AC8" w:rsidRDefault="000D0537" w:rsidP="00607C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w:t>
            </w:r>
            <w:r w:rsidR="00C75084">
              <w:rPr>
                <w:rFonts w:ascii="Arial" w:hAnsi="Arial" w:cs="Arial"/>
                <w:b/>
                <w:color w:val="000000"/>
                <w:sz w:val="18"/>
                <w:szCs w:val="18"/>
              </w:rPr>
              <w:t>2.9</w:t>
            </w:r>
            <w:r w:rsidR="00A03097" w:rsidRPr="00B72AC8">
              <w:rPr>
                <w:rFonts w:ascii="Arial" w:hAnsi="Arial" w:cs="Arial"/>
                <w:b/>
                <w:color w:val="000000"/>
                <w:sz w:val="18"/>
                <w:szCs w:val="18"/>
              </w:rPr>
              <w:t>%</w:t>
            </w:r>
          </w:p>
        </w:tc>
        <w:tc>
          <w:tcPr>
            <w:tcW w:w="1333" w:type="dxa"/>
            <w:tcBorders>
              <w:top w:val="nil"/>
              <w:left w:val="nil"/>
              <w:bottom w:val="nil"/>
              <w:right w:val="single" w:sz="4" w:space="0" w:color="auto"/>
            </w:tcBorders>
            <w:vAlign w:val="center"/>
          </w:tcPr>
          <w:p w14:paraId="154CBC3C" w14:textId="1FD6B2A6" w:rsidR="00A03097" w:rsidRPr="00B72AC8" w:rsidRDefault="00C75084" w:rsidP="00607C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sz w:val="18"/>
                <w:szCs w:val="18"/>
              </w:rPr>
              <w:t>0.0</w:t>
            </w:r>
            <w:r w:rsidR="00A03097" w:rsidRPr="00B72AC8">
              <w:rPr>
                <w:rFonts w:ascii="Arial" w:hAnsi="Arial" w:cs="Arial"/>
                <w:b/>
                <w:color w:val="000000"/>
                <w:sz w:val="18"/>
                <w:szCs w:val="18"/>
              </w:rPr>
              <w:t>%</w:t>
            </w:r>
          </w:p>
        </w:tc>
        <w:tc>
          <w:tcPr>
            <w:tcW w:w="1732" w:type="dxa"/>
            <w:gridSpan w:val="2"/>
            <w:tcBorders>
              <w:top w:val="nil"/>
              <w:left w:val="single" w:sz="4" w:space="0" w:color="auto"/>
              <w:bottom w:val="nil"/>
              <w:right w:val="nil"/>
            </w:tcBorders>
            <w:vAlign w:val="center"/>
          </w:tcPr>
          <w:p w14:paraId="3BDDF4BB" w14:textId="77777777" w:rsidR="00A03097" w:rsidRPr="00B72AC8" w:rsidRDefault="00A03097" w:rsidP="000D053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B72AC8">
              <w:rPr>
                <w:rFonts w:ascii="Arial" w:hAnsi="Arial" w:cs="Arial"/>
                <w:b/>
                <w:bCs/>
                <w:color w:val="000000" w:themeColor="text1"/>
                <w:sz w:val="18"/>
                <w:szCs w:val="18"/>
              </w:rPr>
              <w:t>Deli entertaining</w:t>
            </w:r>
          </w:p>
        </w:tc>
        <w:tc>
          <w:tcPr>
            <w:tcW w:w="934" w:type="dxa"/>
            <w:tcBorders>
              <w:top w:val="nil"/>
              <w:left w:val="nil"/>
              <w:bottom w:val="nil"/>
              <w:right w:val="nil"/>
            </w:tcBorders>
            <w:vAlign w:val="center"/>
          </w:tcPr>
          <w:p w14:paraId="4D0286D8" w14:textId="5BE86017" w:rsidR="00A03097" w:rsidRPr="00B72AC8" w:rsidRDefault="00A03097" w:rsidP="00607C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B72AC8">
              <w:rPr>
                <w:rFonts w:ascii="Arial" w:hAnsi="Arial" w:cs="Arial"/>
                <w:b/>
                <w:color w:val="auto"/>
                <w:sz w:val="18"/>
                <w:szCs w:val="18"/>
              </w:rPr>
              <w:t>$</w:t>
            </w:r>
            <w:r w:rsidR="00C75084">
              <w:rPr>
                <w:rFonts w:ascii="Arial" w:hAnsi="Arial" w:cs="Arial"/>
                <w:b/>
                <w:color w:val="auto"/>
                <w:sz w:val="18"/>
                <w:szCs w:val="18"/>
              </w:rPr>
              <w:t>6.5</w:t>
            </w:r>
            <w:r w:rsidRPr="00B72AC8">
              <w:rPr>
                <w:rFonts w:ascii="Arial" w:hAnsi="Arial" w:cs="Arial"/>
                <w:b/>
                <w:color w:val="auto"/>
                <w:sz w:val="18"/>
                <w:szCs w:val="18"/>
              </w:rPr>
              <w:t>B</w:t>
            </w:r>
          </w:p>
        </w:tc>
        <w:tc>
          <w:tcPr>
            <w:tcW w:w="1333" w:type="dxa"/>
            <w:tcBorders>
              <w:top w:val="nil"/>
              <w:left w:val="nil"/>
              <w:bottom w:val="nil"/>
              <w:right w:val="nil"/>
            </w:tcBorders>
            <w:vAlign w:val="center"/>
          </w:tcPr>
          <w:p w14:paraId="74FBEF4C" w14:textId="0310C950" w:rsidR="00A03097" w:rsidRPr="00B72AC8" w:rsidRDefault="00A03097" w:rsidP="00607C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B72AC8">
              <w:rPr>
                <w:rFonts w:ascii="Arial" w:hAnsi="Arial" w:cs="Arial"/>
                <w:b/>
                <w:color w:val="000000"/>
                <w:sz w:val="18"/>
                <w:szCs w:val="18"/>
              </w:rPr>
              <w:t>+</w:t>
            </w:r>
            <w:r w:rsidR="00C75084">
              <w:rPr>
                <w:rFonts w:ascii="Arial" w:hAnsi="Arial" w:cs="Arial"/>
                <w:b/>
                <w:color w:val="000000"/>
                <w:sz w:val="18"/>
                <w:szCs w:val="18"/>
              </w:rPr>
              <w:t>5.0</w:t>
            </w:r>
            <w:r w:rsidRPr="00B72AC8">
              <w:rPr>
                <w:rFonts w:ascii="Arial" w:hAnsi="Arial" w:cs="Arial"/>
                <w:b/>
                <w:color w:val="000000"/>
                <w:sz w:val="18"/>
                <w:szCs w:val="18"/>
              </w:rPr>
              <w:t>%</w:t>
            </w:r>
          </w:p>
        </w:tc>
        <w:tc>
          <w:tcPr>
            <w:tcW w:w="1333" w:type="dxa"/>
            <w:tcBorders>
              <w:top w:val="nil"/>
              <w:left w:val="nil"/>
              <w:bottom w:val="nil"/>
            </w:tcBorders>
            <w:vAlign w:val="center"/>
          </w:tcPr>
          <w:p w14:paraId="001826DB" w14:textId="330031EA" w:rsidR="00A03097" w:rsidRPr="00571214" w:rsidRDefault="00A03097" w:rsidP="00607C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571214">
              <w:rPr>
                <w:rFonts w:ascii="Arial" w:hAnsi="Arial" w:cs="Arial"/>
                <w:b/>
                <w:color w:val="000000"/>
                <w:sz w:val="18"/>
                <w:szCs w:val="18"/>
              </w:rPr>
              <w:t>+</w:t>
            </w:r>
            <w:r w:rsidR="00C75084">
              <w:rPr>
                <w:rFonts w:ascii="Arial" w:hAnsi="Arial" w:cs="Arial"/>
                <w:b/>
                <w:color w:val="000000"/>
                <w:sz w:val="18"/>
                <w:szCs w:val="18"/>
              </w:rPr>
              <w:t>3.3</w:t>
            </w:r>
            <w:r w:rsidRPr="00571214">
              <w:rPr>
                <w:rFonts w:ascii="Arial" w:hAnsi="Arial" w:cs="Arial"/>
                <w:b/>
                <w:color w:val="000000"/>
                <w:sz w:val="18"/>
                <w:szCs w:val="18"/>
              </w:rPr>
              <w:t>%</w:t>
            </w:r>
          </w:p>
        </w:tc>
      </w:tr>
      <w:tr w:rsidR="00EC1479" w:rsidRPr="00956854" w14:paraId="2051711A"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7DEECB37" w14:textId="77777777" w:rsidR="00EC1479" w:rsidRPr="000961A2" w:rsidRDefault="00EC1479" w:rsidP="00EC1479">
            <w:pPr>
              <w:pStyle w:val="NoSpacing"/>
              <w:rPr>
                <w:rFonts w:ascii="Arial" w:hAnsi="Arial" w:cs="Arial"/>
                <w:b w:val="0"/>
                <w:bCs w:val="0"/>
                <w:color w:val="000000" w:themeColor="text1"/>
                <w:sz w:val="18"/>
                <w:szCs w:val="18"/>
              </w:rPr>
            </w:pPr>
            <w:r w:rsidRPr="000961A2">
              <w:rPr>
                <w:rFonts w:ascii="Arial" w:hAnsi="Arial" w:cs="Arial"/>
                <w:b w:val="0"/>
                <w:bCs w:val="0"/>
                <w:color w:val="000000" w:themeColor="text1"/>
                <w:sz w:val="18"/>
                <w:szCs w:val="18"/>
              </w:rPr>
              <w:t>Dips and sauces</w:t>
            </w:r>
          </w:p>
        </w:tc>
        <w:tc>
          <w:tcPr>
            <w:tcW w:w="990" w:type="dxa"/>
            <w:gridSpan w:val="2"/>
            <w:tcBorders>
              <w:top w:val="nil"/>
              <w:bottom w:val="nil"/>
            </w:tcBorders>
            <w:shd w:val="clear" w:color="auto" w:fill="D9D9D9" w:themeFill="background1" w:themeFillShade="D9"/>
          </w:tcPr>
          <w:p w14:paraId="4CF6F3E4" w14:textId="343793C9"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7414F4">
              <w:rPr>
                <w:rFonts w:ascii="Arial" w:hAnsi="Arial" w:cs="Arial"/>
                <w:color w:val="auto"/>
                <w:sz w:val="18"/>
                <w:szCs w:val="18"/>
              </w:rPr>
              <w:t>$</w:t>
            </w:r>
            <w:r w:rsidR="00C75084">
              <w:rPr>
                <w:rFonts w:ascii="Arial" w:hAnsi="Arial" w:cs="Arial"/>
                <w:color w:val="auto"/>
                <w:sz w:val="18"/>
                <w:szCs w:val="18"/>
              </w:rPr>
              <w:t>269</w:t>
            </w:r>
            <w:r w:rsidRPr="007414F4">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38F755DC" w14:textId="1586FDDC" w:rsidR="00EC1479" w:rsidRPr="000961A2"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B2625F">
              <w:rPr>
                <w:rFonts w:ascii="Arial" w:hAnsi="Arial" w:cs="Arial"/>
                <w:color w:val="000000"/>
                <w:sz w:val="18"/>
                <w:szCs w:val="18"/>
              </w:rPr>
              <w:t>+</w:t>
            </w:r>
            <w:r w:rsidR="00C75084">
              <w:rPr>
                <w:rFonts w:ascii="Arial" w:hAnsi="Arial" w:cs="Arial"/>
                <w:color w:val="000000"/>
                <w:sz w:val="18"/>
                <w:szCs w:val="18"/>
              </w:rPr>
              <w:t>2.8</w:t>
            </w:r>
            <w:r w:rsidRPr="00B2625F">
              <w:rPr>
                <w:rFonts w:ascii="Arial" w:hAnsi="Arial" w:cs="Arial"/>
                <w:color w:val="000000"/>
                <w:sz w:val="18"/>
                <w:szCs w:val="18"/>
              </w:rPr>
              <w:t>%</w:t>
            </w:r>
          </w:p>
        </w:tc>
        <w:tc>
          <w:tcPr>
            <w:tcW w:w="1333" w:type="dxa"/>
            <w:tcBorders>
              <w:top w:val="nil"/>
              <w:bottom w:val="nil"/>
              <w:right w:val="single" w:sz="4" w:space="0" w:color="auto"/>
            </w:tcBorders>
            <w:shd w:val="clear" w:color="auto" w:fill="D9D9D9" w:themeFill="background1" w:themeFillShade="D9"/>
          </w:tcPr>
          <w:p w14:paraId="03A59F35" w14:textId="4CE36F53" w:rsidR="00EC1479" w:rsidRPr="000961A2" w:rsidRDefault="00C75084"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-0.5</w:t>
            </w:r>
            <w:r w:rsidR="00EC1479" w:rsidRPr="00B2625F">
              <w:rPr>
                <w:rFonts w:ascii="Arial" w:hAnsi="Arial" w:cs="Arial"/>
                <w:color w:val="000000"/>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03D97645" w14:textId="77777777" w:rsidR="00EC1479" w:rsidRPr="000961A2"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961A2">
              <w:rPr>
                <w:rFonts w:ascii="Arial" w:hAnsi="Arial" w:cs="Arial"/>
                <w:color w:val="000000" w:themeColor="text1"/>
                <w:sz w:val="18"/>
                <w:szCs w:val="18"/>
              </w:rPr>
              <w:t>Dips and sauces</w:t>
            </w:r>
          </w:p>
        </w:tc>
        <w:tc>
          <w:tcPr>
            <w:tcW w:w="934" w:type="dxa"/>
            <w:tcBorders>
              <w:top w:val="nil"/>
              <w:bottom w:val="nil"/>
            </w:tcBorders>
            <w:shd w:val="clear" w:color="auto" w:fill="D9D9D9" w:themeFill="background1" w:themeFillShade="D9"/>
            <w:vAlign w:val="center"/>
          </w:tcPr>
          <w:p w14:paraId="489AE984" w14:textId="14AECAAC" w:rsidR="00EC1479" w:rsidRPr="000961A2"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9432BB">
              <w:rPr>
                <w:rFonts w:ascii="Arial" w:hAnsi="Arial" w:cs="Arial"/>
                <w:color w:val="auto"/>
                <w:sz w:val="18"/>
                <w:szCs w:val="18"/>
              </w:rPr>
              <w:t>$</w:t>
            </w:r>
            <w:r w:rsidR="00C75084">
              <w:rPr>
                <w:rFonts w:ascii="Arial" w:hAnsi="Arial" w:cs="Arial"/>
                <w:color w:val="auto"/>
                <w:sz w:val="18"/>
                <w:szCs w:val="18"/>
              </w:rPr>
              <w:t>3.3</w:t>
            </w:r>
            <w:r w:rsidRPr="009432BB">
              <w:rPr>
                <w:rFonts w:ascii="Arial" w:hAnsi="Arial" w:cs="Arial"/>
                <w:color w:val="auto"/>
                <w:sz w:val="18"/>
                <w:szCs w:val="18"/>
              </w:rPr>
              <w:t>B</w:t>
            </w:r>
          </w:p>
        </w:tc>
        <w:tc>
          <w:tcPr>
            <w:tcW w:w="1333" w:type="dxa"/>
            <w:tcBorders>
              <w:top w:val="nil"/>
              <w:bottom w:val="nil"/>
            </w:tcBorders>
            <w:shd w:val="clear" w:color="auto" w:fill="D9D9D9" w:themeFill="background1" w:themeFillShade="D9"/>
          </w:tcPr>
          <w:p w14:paraId="79FD4C7C" w14:textId="69AB3479" w:rsidR="00EC1479" w:rsidRPr="000961A2"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10169">
              <w:rPr>
                <w:rFonts w:ascii="Arial" w:hAnsi="Arial" w:cs="Arial"/>
                <w:color w:val="000000"/>
                <w:sz w:val="18"/>
                <w:szCs w:val="18"/>
              </w:rPr>
              <w:t>+</w:t>
            </w:r>
            <w:r w:rsidR="00C75084">
              <w:rPr>
                <w:rFonts w:ascii="Arial" w:hAnsi="Arial" w:cs="Arial"/>
                <w:color w:val="000000"/>
                <w:sz w:val="18"/>
                <w:szCs w:val="18"/>
              </w:rPr>
              <w:t>3.6</w:t>
            </w:r>
            <w:r w:rsidRPr="00C10169">
              <w:rPr>
                <w:rFonts w:ascii="Arial" w:hAnsi="Arial" w:cs="Arial"/>
                <w:color w:val="000000"/>
                <w:sz w:val="18"/>
                <w:szCs w:val="18"/>
              </w:rPr>
              <w:t>%</w:t>
            </w:r>
          </w:p>
        </w:tc>
        <w:tc>
          <w:tcPr>
            <w:tcW w:w="1333" w:type="dxa"/>
            <w:tcBorders>
              <w:top w:val="nil"/>
              <w:bottom w:val="nil"/>
            </w:tcBorders>
            <w:shd w:val="clear" w:color="auto" w:fill="D9D9D9" w:themeFill="background1" w:themeFillShade="D9"/>
          </w:tcPr>
          <w:p w14:paraId="056C2198" w14:textId="3AB1CAAF" w:rsidR="00EC1479" w:rsidRPr="000961A2"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10169">
              <w:rPr>
                <w:rFonts w:ascii="Arial" w:hAnsi="Arial" w:cs="Arial"/>
                <w:color w:val="000000"/>
                <w:sz w:val="18"/>
                <w:szCs w:val="18"/>
              </w:rPr>
              <w:t>+</w:t>
            </w:r>
            <w:r w:rsidR="00C75084">
              <w:rPr>
                <w:rFonts w:ascii="Arial" w:hAnsi="Arial" w:cs="Arial"/>
                <w:color w:val="000000"/>
                <w:sz w:val="18"/>
                <w:szCs w:val="18"/>
              </w:rPr>
              <w:t>1.2</w:t>
            </w:r>
            <w:r w:rsidRPr="00C10169">
              <w:rPr>
                <w:rFonts w:ascii="Arial" w:hAnsi="Arial" w:cs="Arial"/>
                <w:color w:val="000000"/>
                <w:sz w:val="18"/>
                <w:szCs w:val="18"/>
              </w:rPr>
              <w:t>%</w:t>
            </w:r>
          </w:p>
        </w:tc>
      </w:tr>
      <w:tr w:rsidR="00EC1479" w:rsidRPr="00956854" w14:paraId="4714E957"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6F6CC4B7" w14:textId="77777777" w:rsidR="00EC1479" w:rsidRPr="000961A2" w:rsidRDefault="00EC1479" w:rsidP="00EC1479">
            <w:pPr>
              <w:pStyle w:val="NoSpacing"/>
              <w:rPr>
                <w:rFonts w:ascii="Arial" w:hAnsi="Arial" w:cs="Arial"/>
                <w:b w:val="0"/>
                <w:bCs w:val="0"/>
                <w:color w:val="000000" w:themeColor="text1"/>
                <w:sz w:val="18"/>
                <w:szCs w:val="18"/>
              </w:rPr>
            </w:pPr>
            <w:r w:rsidRPr="000961A2">
              <w:rPr>
                <w:rFonts w:ascii="Arial" w:hAnsi="Arial" w:cs="Arial"/>
                <w:b w:val="0"/>
                <w:bCs w:val="0"/>
                <w:color w:val="000000" w:themeColor="text1"/>
                <w:sz w:val="18"/>
                <w:szCs w:val="18"/>
              </w:rPr>
              <w:t xml:space="preserve">Trays </w:t>
            </w:r>
          </w:p>
        </w:tc>
        <w:tc>
          <w:tcPr>
            <w:tcW w:w="990" w:type="dxa"/>
            <w:gridSpan w:val="2"/>
            <w:tcBorders>
              <w:top w:val="nil"/>
              <w:left w:val="nil"/>
              <w:bottom w:val="nil"/>
              <w:right w:val="nil"/>
            </w:tcBorders>
          </w:tcPr>
          <w:p w14:paraId="3AC38B41" w14:textId="0F530621"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7414F4">
              <w:rPr>
                <w:rFonts w:ascii="Arial" w:hAnsi="Arial" w:cs="Arial"/>
                <w:color w:val="auto"/>
                <w:sz w:val="18"/>
                <w:szCs w:val="18"/>
              </w:rPr>
              <w:t>$</w:t>
            </w:r>
            <w:r w:rsidR="00C75084">
              <w:rPr>
                <w:rFonts w:ascii="Arial" w:hAnsi="Arial" w:cs="Arial"/>
                <w:color w:val="auto"/>
                <w:sz w:val="18"/>
                <w:szCs w:val="18"/>
              </w:rPr>
              <w:t>93</w:t>
            </w:r>
            <w:r w:rsidRPr="007414F4">
              <w:rPr>
                <w:rFonts w:ascii="Arial" w:hAnsi="Arial" w:cs="Arial"/>
                <w:color w:val="auto"/>
                <w:sz w:val="18"/>
                <w:szCs w:val="18"/>
              </w:rPr>
              <w:t>M</w:t>
            </w:r>
          </w:p>
        </w:tc>
        <w:tc>
          <w:tcPr>
            <w:tcW w:w="1075" w:type="dxa"/>
            <w:tcBorders>
              <w:top w:val="nil"/>
              <w:left w:val="nil"/>
              <w:bottom w:val="nil"/>
              <w:right w:val="nil"/>
            </w:tcBorders>
          </w:tcPr>
          <w:p w14:paraId="7AC2104E" w14:textId="293C069F" w:rsidR="00EC1479" w:rsidRPr="00096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B2625F">
              <w:rPr>
                <w:rFonts w:ascii="Arial" w:hAnsi="Arial" w:cs="Arial"/>
                <w:color w:val="000000"/>
                <w:sz w:val="18"/>
                <w:szCs w:val="18"/>
              </w:rPr>
              <w:t>+</w:t>
            </w:r>
            <w:r w:rsidR="00C75084">
              <w:rPr>
                <w:rFonts w:ascii="Arial" w:hAnsi="Arial" w:cs="Arial"/>
                <w:color w:val="000000"/>
                <w:sz w:val="18"/>
                <w:szCs w:val="18"/>
              </w:rPr>
              <w:t>6.7</w:t>
            </w:r>
            <w:r w:rsidRPr="00B2625F">
              <w:rPr>
                <w:rFonts w:ascii="Arial" w:hAnsi="Arial" w:cs="Arial"/>
                <w:color w:val="000000"/>
                <w:sz w:val="18"/>
                <w:szCs w:val="18"/>
              </w:rPr>
              <w:t>%</w:t>
            </w:r>
          </w:p>
        </w:tc>
        <w:tc>
          <w:tcPr>
            <w:tcW w:w="1333" w:type="dxa"/>
            <w:tcBorders>
              <w:top w:val="nil"/>
              <w:left w:val="nil"/>
              <w:bottom w:val="nil"/>
              <w:right w:val="single" w:sz="4" w:space="0" w:color="auto"/>
            </w:tcBorders>
          </w:tcPr>
          <w:p w14:paraId="01F87C6C" w14:textId="2658AC59" w:rsidR="00EC1479" w:rsidRPr="00096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B2625F">
              <w:rPr>
                <w:rFonts w:ascii="Arial" w:hAnsi="Arial" w:cs="Arial"/>
                <w:color w:val="000000"/>
                <w:sz w:val="18"/>
                <w:szCs w:val="18"/>
              </w:rPr>
              <w:t>+</w:t>
            </w:r>
            <w:r w:rsidR="00C75084">
              <w:rPr>
                <w:rFonts w:ascii="Arial" w:hAnsi="Arial" w:cs="Arial"/>
                <w:color w:val="000000"/>
                <w:sz w:val="18"/>
                <w:szCs w:val="18"/>
              </w:rPr>
              <w:t>9.2</w:t>
            </w:r>
            <w:r w:rsidRPr="00B2625F">
              <w:rPr>
                <w:rFonts w:ascii="Arial" w:hAnsi="Arial" w:cs="Arial"/>
                <w:color w:val="000000"/>
                <w:sz w:val="18"/>
                <w:szCs w:val="18"/>
              </w:rPr>
              <w:t>%</w:t>
            </w:r>
          </w:p>
        </w:tc>
        <w:tc>
          <w:tcPr>
            <w:tcW w:w="1732" w:type="dxa"/>
            <w:gridSpan w:val="2"/>
            <w:tcBorders>
              <w:top w:val="nil"/>
              <w:left w:val="single" w:sz="4" w:space="0" w:color="auto"/>
              <w:bottom w:val="nil"/>
              <w:right w:val="nil"/>
            </w:tcBorders>
            <w:vAlign w:val="center"/>
          </w:tcPr>
          <w:p w14:paraId="34C9E6EB" w14:textId="77777777" w:rsidR="00EC1479" w:rsidRPr="000961A2"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961A2">
              <w:rPr>
                <w:rFonts w:ascii="Arial" w:hAnsi="Arial" w:cs="Arial"/>
                <w:color w:val="000000" w:themeColor="text1"/>
                <w:sz w:val="18"/>
                <w:szCs w:val="18"/>
              </w:rPr>
              <w:t>Trays</w:t>
            </w:r>
          </w:p>
        </w:tc>
        <w:tc>
          <w:tcPr>
            <w:tcW w:w="934" w:type="dxa"/>
            <w:tcBorders>
              <w:top w:val="nil"/>
              <w:left w:val="nil"/>
              <w:bottom w:val="nil"/>
              <w:right w:val="nil"/>
            </w:tcBorders>
            <w:vAlign w:val="center"/>
          </w:tcPr>
          <w:p w14:paraId="40AC9B3E" w14:textId="290587E3" w:rsidR="00EC1479" w:rsidRPr="00096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9432BB">
              <w:rPr>
                <w:rFonts w:ascii="Arial" w:hAnsi="Arial" w:cs="Arial"/>
                <w:color w:val="auto"/>
                <w:sz w:val="18"/>
                <w:szCs w:val="18"/>
              </w:rPr>
              <w:t>$</w:t>
            </w:r>
            <w:r w:rsidR="00C75084">
              <w:rPr>
                <w:rFonts w:ascii="Arial" w:hAnsi="Arial" w:cs="Arial"/>
                <w:color w:val="auto"/>
                <w:sz w:val="18"/>
                <w:szCs w:val="18"/>
              </w:rPr>
              <w:t>1.2</w:t>
            </w:r>
            <w:r w:rsidRPr="009432BB">
              <w:rPr>
                <w:rFonts w:ascii="Arial" w:hAnsi="Arial" w:cs="Arial"/>
                <w:color w:val="auto"/>
                <w:sz w:val="18"/>
                <w:szCs w:val="18"/>
              </w:rPr>
              <w:t>B</w:t>
            </w:r>
          </w:p>
        </w:tc>
        <w:tc>
          <w:tcPr>
            <w:tcW w:w="1333" w:type="dxa"/>
            <w:tcBorders>
              <w:top w:val="nil"/>
              <w:left w:val="nil"/>
              <w:bottom w:val="nil"/>
              <w:right w:val="nil"/>
            </w:tcBorders>
          </w:tcPr>
          <w:p w14:paraId="38CC6A26" w14:textId="5AF40080" w:rsidR="00EC1479" w:rsidRPr="00096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10169">
              <w:rPr>
                <w:rFonts w:ascii="Arial" w:hAnsi="Arial" w:cs="Arial"/>
                <w:color w:val="000000"/>
                <w:sz w:val="18"/>
                <w:szCs w:val="18"/>
              </w:rPr>
              <w:t>+</w:t>
            </w:r>
            <w:r w:rsidR="00C75084">
              <w:rPr>
                <w:rFonts w:ascii="Arial" w:hAnsi="Arial" w:cs="Arial"/>
                <w:color w:val="000000"/>
                <w:sz w:val="18"/>
                <w:szCs w:val="18"/>
              </w:rPr>
              <w:t>8.5</w:t>
            </w:r>
            <w:r w:rsidRPr="00C10169">
              <w:rPr>
                <w:rFonts w:ascii="Arial" w:hAnsi="Arial" w:cs="Arial"/>
                <w:color w:val="000000"/>
                <w:sz w:val="18"/>
                <w:szCs w:val="18"/>
              </w:rPr>
              <w:t>%</w:t>
            </w:r>
          </w:p>
        </w:tc>
        <w:tc>
          <w:tcPr>
            <w:tcW w:w="1333" w:type="dxa"/>
            <w:tcBorders>
              <w:top w:val="nil"/>
              <w:left w:val="nil"/>
              <w:bottom w:val="nil"/>
            </w:tcBorders>
          </w:tcPr>
          <w:p w14:paraId="1510F85E" w14:textId="654E7828" w:rsidR="00EC1479" w:rsidRPr="00096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10169">
              <w:rPr>
                <w:rFonts w:ascii="Arial" w:hAnsi="Arial" w:cs="Arial"/>
                <w:color w:val="000000"/>
                <w:sz w:val="18"/>
                <w:szCs w:val="18"/>
              </w:rPr>
              <w:t>+</w:t>
            </w:r>
            <w:r w:rsidR="00C75084">
              <w:rPr>
                <w:rFonts w:ascii="Arial" w:hAnsi="Arial" w:cs="Arial"/>
                <w:color w:val="000000"/>
                <w:sz w:val="18"/>
                <w:szCs w:val="18"/>
              </w:rPr>
              <w:t>9.0</w:t>
            </w:r>
            <w:r w:rsidRPr="00C10169">
              <w:rPr>
                <w:rFonts w:ascii="Arial" w:hAnsi="Arial" w:cs="Arial"/>
                <w:color w:val="000000"/>
                <w:sz w:val="18"/>
                <w:szCs w:val="18"/>
              </w:rPr>
              <w:t>%</w:t>
            </w:r>
          </w:p>
        </w:tc>
      </w:tr>
      <w:tr w:rsidR="00EC1479" w:rsidRPr="00956854" w14:paraId="4096C4C5"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08489B7B" w14:textId="77777777" w:rsidR="00EC1479" w:rsidRPr="000961A2" w:rsidRDefault="00EC1479" w:rsidP="00EC1479">
            <w:pPr>
              <w:pStyle w:val="NoSpacing"/>
              <w:rPr>
                <w:rFonts w:ascii="Arial" w:hAnsi="Arial" w:cs="Arial"/>
                <w:b w:val="0"/>
                <w:bCs w:val="0"/>
                <w:color w:val="000000" w:themeColor="text1"/>
                <w:sz w:val="18"/>
                <w:szCs w:val="18"/>
              </w:rPr>
            </w:pPr>
            <w:r w:rsidRPr="000961A2">
              <w:rPr>
                <w:rFonts w:ascii="Arial" w:hAnsi="Arial" w:cs="Arial"/>
                <w:b w:val="0"/>
                <w:bCs w:val="0"/>
                <w:color w:val="000000" w:themeColor="text1"/>
                <w:sz w:val="18"/>
                <w:szCs w:val="18"/>
              </w:rPr>
              <w:t>Spreads</w:t>
            </w:r>
          </w:p>
        </w:tc>
        <w:tc>
          <w:tcPr>
            <w:tcW w:w="990" w:type="dxa"/>
            <w:gridSpan w:val="2"/>
            <w:tcBorders>
              <w:top w:val="nil"/>
              <w:bottom w:val="nil"/>
            </w:tcBorders>
            <w:shd w:val="clear" w:color="auto" w:fill="D9D9D9" w:themeFill="background1" w:themeFillShade="D9"/>
          </w:tcPr>
          <w:p w14:paraId="64816E3C" w14:textId="602FA509" w:rsidR="00EC1479" w:rsidRPr="000D0537"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7414F4">
              <w:rPr>
                <w:rFonts w:ascii="Arial" w:hAnsi="Arial" w:cs="Arial"/>
                <w:color w:val="auto"/>
                <w:sz w:val="18"/>
                <w:szCs w:val="18"/>
              </w:rPr>
              <w:t>$</w:t>
            </w:r>
            <w:r w:rsidR="00C75084">
              <w:rPr>
                <w:rFonts w:ascii="Arial" w:hAnsi="Arial" w:cs="Arial"/>
                <w:color w:val="auto"/>
                <w:sz w:val="18"/>
                <w:szCs w:val="18"/>
              </w:rPr>
              <w:t>84</w:t>
            </w:r>
            <w:r w:rsidRPr="007414F4">
              <w:rPr>
                <w:rFonts w:ascii="Arial" w:hAnsi="Arial" w:cs="Arial"/>
                <w:color w:val="auto"/>
                <w:sz w:val="18"/>
                <w:szCs w:val="18"/>
              </w:rPr>
              <w:t>M</w:t>
            </w:r>
          </w:p>
        </w:tc>
        <w:tc>
          <w:tcPr>
            <w:tcW w:w="1075" w:type="dxa"/>
            <w:tcBorders>
              <w:top w:val="nil"/>
              <w:bottom w:val="nil"/>
            </w:tcBorders>
            <w:shd w:val="clear" w:color="auto" w:fill="D9D9D9" w:themeFill="background1" w:themeFillShade="D9"/>
          </w:tcPr>
          <w:p w14:paraId="546EE89C" w14:textId="11B80BE0" w:rsidR="00EC1479" w:rsidRPr="000961A2" w:rsidRDefault="00C75084"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-1.9</w:t>
            </w:r>
            <w:r w:rsidR="00EC1479" w:rsidRPr="00B2625F">
              <w:rPr>
                <w:rFonts w:ascii="Arial" w:hAnsi="Arial" w:cs="Arial"/>
                <w:color w:val="000000"/>
                <w:sz w:val="18"/>
                <w:szCs w:val="18"/>
              </w:rPr>
              <w:t>%</w:t>
            </w:r>
          </w:p>
        </w:tc>
        <w:tc>
          <w:tcPr>
            <w:tcW w:w="1333" w:type="dxa"/>
            <w:tcBorders>
              <w:top w:val="nil"/>
              <w:bottom w:val="nil"/>
              <w:right w:val="single" w:sz="4" w:space="0" w:color="auto"/>
            </w:tcBorders>
            <w:shd w:val="clear" w:color="auto" w:fill="D9D9D9" w:themeFill="background1" w:themeFillShade="D9"/>
          </w:tcPr>
          <w:p w14:paraId="3DDE8954" w14:textId="7811C4EB" w:rsidR="00EC1479" w:rsidRPr="000961A2" w:rsidRDefault="00C75084"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-3.2</w:t>
            </w:r>
            <w:r w:rsidR="00EC1479" w:rsidRPr="00B2625F">
              <w:rPr>
                <w:rFonts w:ascii="Arial" w:hAnsi="Arial" w:cs="Arial"/>
                <w:color w:val="000000"/>
                <w:sz w:val="18"/>
                <w:szCs w:val="18"/>
              </w:rPr>
              <w:t>%</w:t>
            </w:r>
          </w:p>
        </w:tc>
        <w:tc>
          <w:tcPr>
            <w:tcW w:w="1732" w:type="dxa"/>
            <w:gridSpan w:val="2"/>
            <w:tcBorders>
              <w:top w:val="nil"/>
              <w:left w:val="single" w:sz="4" w:space="0" w:color="auto"/>
              <w:bottom w:val="nil"/>
            </w:tcBorders>
            <w:shd w:val="clear" w:color="auto" w:fill="D9D9D9" w:themeFill="background1" w:themeFillShade="D9"/>
            <w:vAlign w:val="center"/>
          </w:tcPr>
          <w:p w14:paraId="1D47417F" w14:textId="77777777" w:rsidR="00EC1479" w:rsidRPr="000961A2"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961A2">
              <w:rPr>
                <w:rFonts w:ascii="Arial" w:hAnsi="Arial" w:cs="Arial"/>
                <w:color w:val="000000" w:themeColor="text1"/>
                <w:sz w:val="18"/>
                <w:szCs w:val="18"/>
              </w:rPr>
              <w:t>Spreads</w:t>
            </w:r>
          </w:p>
        </w:tc>
        <w:tc>
          <w:tcPr>
            <w:tcW w:w="934" w:type="dxa"/>
            <w:tcBorders>
              <w:top w:val="nil"/>
              <w:bottom w:val="nil"/>
            </w:tcBorders>
            <w:shd w:val="clear" w:color="auto" w:fill="D9D9D9" w:themeFill="background1" w:themeFillShade="D9"/>
            <w:vAlign w:val="center"/>
          </w:tcPr>
          <w:p w14:paraId="51A860C7" w14:textId="70DFD70C" w:rsidR="00EC1479" w:rsidRPr="000961A2"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9432BB">
              <w:rPr>
                <w:rFonts w:ascii="Arial" w:hAnsi="Arial" w:cs="Arial"/>
                <w:color w:val="auto"/>
                <w:sz w:val="18"/>
                <w:szCs w:val="18"/>
              </w:rPr>
              <w:t>$</w:t>
            </w:r>
            <w:r w:rsidR="00C75084">
              <w:rPr>
                <w:rFonts w:ascii="Arial" w:hAnsi="Arial" w:cs="Arial"/>
                <w:color w:val="auto"/>
                <w:sz w:val="18"/>
                <w:szCs w:val="18"/>
              </w:rPr>
              <w:t>1.1</w:t>
            </w:r>
            <w:r w:rsidRPr="009432BB">
              <w:rPr>
                <w:rFonts w:ascii="Arial" w:hAnsi="Arial" w:cs="Arial"/>
                <w:color w:val="auto"/>
                <w:sz w:val="18"/>
                <w:szCs w:val="18"/>
              </w:rPr>
              <w:t>B</w:t>
            </w:r>
          </w:p>
        </w:tc>
        <w:tc>
          <w:tcPr>
            <w:tcW w:w="1333" w:type="dxa"/>
            <w:tcBorders>
              <w:top w:val="nil"/>
              <w:bottom w:val="nil"/>
            </w:tcBorders>
            <w:shd w:val="clear" w:color="auto" w:fill="D9D9D9" w:themeFill="background1" w:themeFillShade="D9"/>
          </w:tcPr>
          <w:p w14:paraId="4395A29C" w14:textId="32B7A505" w:rsidR="00EC1479" w:rsidRPr="000961A2" w:rsidRDefault="00C75084"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-1.1</w:t>
            </w:r>
            <w:r w:rsidR="00EC1479" w:rsidRPr="00C10169">
              <w:rPr>
                <w:rFonts w:ascii="Arial" w:hAnsi="Arial" w:cs="Arial"/>
                <w:color w:val="000000"/>
                <w:sz w:val="18"/>
                <w:szCs w:val="18"/>
              </w:rPr>
              <w:t>%</w:t>
            </w:r>
          </w:p>
        </w:tc>
        <w:tc>
          <w:tcPr>
            <w:tcW w:w="1333" w:type="dxa"/>
            <w:tcBorders>
              <w:top w:val="nil"/>
              <w:bottom w:val="nil"/>
            </w:tcBorders>
            <w:shd w:val="clear" w:color="auto" w:fill="D9D9D9" w:themeFill="background1" w:themeFillShade="D9"/>
          </w:tcPr>
          <w:p w14:paraId="5E8C1F39" w14:textId="1DFD03A1" w:rsidR="00EC1479" w:rsidRPr="000961A2" w:rsidRDefault="00C75084"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sz w:val="18"/>
                <w:szCs w:val="18"/>
              </w:rPr>
              <w:t>-3.2</w:t>
            </w:r>
            <w:r w:rsidR="00EC1479" w:rsidRPr="00C10169">
              <w:rPr>
                <w:rFonts w:ascii="Arial" w:hAnsi="Arial" w:cs="Arial"/>
                <w:color w:val="000000"/>
                <w:sz w:val="18"/>
                <w:szCs w:val="18"/>
              </w:rPr>
              <w:t>%</w:t>
            </w:r>
          </w:p>
        </w:tc>
      </w:tr>
      <w:tr w:rsidR="00EC1479" w:rsidRPr="00956854" w14:paraId="489EA340"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73078517" w14:textId="77777777" w:rsidR="00EC1479" w:rsidRPr="000961A2" w:rsidRDefault="00EC1479" w:rsidP="00EC1479">
            <w:pPr>
              <w:pStyle w:val="NoSpacing"/>
              <w:rPr>
                <w:rFonts w:ascii="Arial" w:hAnsi="Arial" w:cs="Arial"/>
                <w:b w:val="0"/>
                <w:bCs w:val="0"/>
                <w:color w:val="000000" w:themeColor="text1"/>
                <w:sz w:val="18"/>
                <w:szCs w:val="18"/>
              </w:rPr>
            </w:pPr>
            <w:r w:rsidRPr="000961A2">
              <w:rPr>
                <w:rFonts w:ascii="Arial" w:hAnsi="Arial" w:cs="Arial"/>
                <w:b w:val="0"/>
                <w:bCs w:val="0"/>
                <w:color w:val="000000" w:themeColor="text1"/>
                <w:sz w:val="18"/>
                <w:szCs w:val="18"/>
              </w:rPr>
              <w:t>Pickles/relish</w:t>
            </w:r>
          </w:p>
        </w:tc>
        <w:tc>
          <w:tcPr>
            <w:tcW w:w="990" w:type="dxa"/>
            <w:gridSpan w:val="2"/>
            <w:tcBorders>
              <w:top w:val="nil"/>
              <w:bottom w:val="nil"/>
            </w:tcBorders>
          </w:tcPr>
          <w:p w14:paraId="0289C729" w14:textId="584A14BD" w:rsidR="00EC1479" w:rsidRPr="000D0537"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7414F4">
              <w:rPr>
                <w:rFonts w:ascii="Arial" w:hAnsi="Arial" w:cs="Arial"/>
                <w:color w:val="auto"/>
                <w:sz w:val="18"/>
                <w:szCs w:val="18"/>
              </w:rPr>
              <w:t>$</w:t>
            </w:r>
            <w:r w:rsidR="00C75084">
              <w:rPr>
                <w:rFonts w:ascii="Arial" w:hAnsi="Arial" w:cs="Arial"/>
                <w:color w:val="auto"/>
                <w:sz w:val="18"/>
                <w:szCs w:val="18"/>
              </w:rPr>
              <w:t>67</w:t>
            </w:r>
            <w:r w:rsidRPr="007414F4">
              <w:rPr>
                <w:rFonts w:ascii="Arial" w:hAnsi="Arial" w:cs="Arial"/>
                <w:color w:val="auto"/>
                <w:sz w:val="18"/>
                <w:szCs w:val="18"/>
              </w:rPr>
              <w:t>M</w:t>
            </w:r>
          </w:p>
        </w:tc>
        <w:tc>
          <w:tcPr>
            <w:tcW w:w="1075" w:type="dxa"/>
            <w:tcBorders>
              <w:top w:val="nil"/>
              <w:bottom w:val="nil"/>
            </w:tcBorders>
          </w:tcPr>
          <w:p w14:paraId="7AAA107C" w14:textId="55AA4878" w:rsidR="00EC1479" w:rsidRPr="00096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B2625F">
              <w:rPr>
                <w:rFonts w:ascii="Arial" w:hAnsi="Arial" w:cs="Arial"/>
                <w:color w:val="000000"/>
                <w:sz w:val="18"/>
                <w:szCs w:val="18"/>
              </w:rPr>
              <w:t>+</w:t>
            </w:r>
            <w:r w:rsidR="00C75084">
              <w:rPr>
                <w:rFonts w:ascii="Arial" w:hAnsi="Arial" w:cs="Arial"/>
                <w:color w:val="000000"/>
                <w:sz w:val="18"/>
                <w:szCs w:val="18"/>
              </w:rPr>
              <w:t>4.8</w:t>
            </w:r>
            <w:r w:rsidRPr="00B2625F">
              <w:rPr>
                <w:rFonts w:ascii="Arial" w:hAnsi="Arial" w:cs="Arial"/>
                <w:color w:val="000000"/>
                <w:sz w:val="18"/>
                <w:szCs w:val="18"/>
              </w:rPr>
              <w:t>%</w:t>
            </w:r>
          </w:p>
        </w:tc>
        <w:tc>
          <w:tcPr>
            <w:tcW w:w="1333" w:type="dxa"/>
            <w:tcBorders>
              <w:top w:val="nil"/>
              <w:bottom w:val="nil"/>
              <w:right w:val="single" w:sz="4" w:space="0" w:color="auto"/>
            </w:tcBorders>
          </w:tcPr>
          <w:p w14:paraId="694765C6" w14:textId="63026723" w:rsidR="00EC1479" w:rsidRPr="00096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B2625F">
              <w:rPr>
                <w:rFonts w:ascii="Arial" w:hAnsi="Arial" w:cs="Arial"/>
                <w:color w:val="000000"/>
                <w:sz w:val="18"/>
                <w:szCs w:val="18"/>
              </w:rPr>
              <w:t>+</w:t>
            </w:r>
            <w:r w:rsidR="00C75084">
              <w:rPr>
                <w:rFonts w:ascii="Arial" w:hAnsi="Arial" w:cs="Arial"/>
                <w:color w:val="000000"/>
                <w:sz w:val="18"/>
                <w:szCs w:val="18"/>
              </w:rPr>
              <w:t>1.1</w:t>
            </w:r>
            <w:r w:rsidRPr="00B2625F">
              <w:rPr>
                <w:rFonts w:ascii="Arial" w:hAnsi="Arial" w:cs="Arial"/>
                <w:color w:val="000000"/>
                <w:sz w:val="18"/>
                <w:szCs w:val="18"/>
              </w:rPr>
              <w:t>%</w:t>
            </w:r>
          </w:p>
        </w:tc>
        <w:tc>
          <w:tcPr>
            <w:tcW w:w="1732" w:type="dxa"/>
            <w:gridSpan w:val="2"/>
            <w:tcBorders>
              <w:top w:val="nil"/>
              <w:left w:val="single" w:sz="4" w:space="0" w:color="auto"/>
              <w:bottom w:val="nil"/>
            </w:tcBorders>
            <w:vAlign w:val="center"/>
          </w:tcPr>
          <w:p w14:paraId="73185017" w14:textId="77777777" w:rsidR="00EC1479" w:rsidRPr="000961A2"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961A2">
              <w:rPr>
                <w:rFonts w:ascii="Arial" w:hAnsi="Arial" w:cs="Arial"/>
                <w:color w:val="000000" w:themeColor="text1"/>
                <w:sz w:val="18"/>
                <w:szCs w:val="18"/>
              </w:rPr>
              <w:t>Pickles/relish</w:t>
            </w:r>
          </w:p>
        </w:tc>
        <w:tc>
          <w:tcPr>
            <w:tcW w:w="934" w:type="dxa"/>
            <w:tcBorders>
              <w:top w:val="nil"/>
              <w:bottom w:val="nil"/>
            </w:tcBorders>
            <w:vAlign w:val="center"/>
          </w:tcPr>
          <w:p w14:paraId="06C58988" w14:textId="5E2F1CA3" w:rsidR="00EC1479" w:rsidRPr="00096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961A2">
              <w:rPr>
                <w:rFonts w:ascii="Arial" w:hAnsi="Arial" w:cs="Arial"/>
                <w:color w:val="000000" w:themeColor="text1"/>
                <w:sz w:val="18"/>
                <w:szCs w:val="18"/>
              </w:rPr>
              <w:t>$</w:t>
            </w:r>
            <w:r w:rsidR="00C75084">
              <w:rPr>
                <w:rFonts w:ascii="Arial" w:hAnsi="Arial" w:cs="Arial"/>
                <w:color w:val="000000" w:themeColor="text1"/>
                <w:sz w:val="18"/>
                <w:szCs w:val="18"/>
              </w:rPr>
              <w:t>813</w:t>
            </w:r>
            <w:r w:rsidRPr="000961A2">
              <w:rPr>
                <w:rFonts w:ascii="Arial" w:hAnsi="Arial" w:cs="Arial"/>
                <w:color w:val="000000" w:themeColor="text1"/>
                <w:sz w:val="18"/>
                <w:szCs w:val="18"/>
              </w:rPr>
              <w:t>M</w:t>
            </w:r>
          </w:p>
        </w:tc>
        <w:tc>
          <w:tcPr>
            <w:tcW w:w="1333" w:type="dxa"/>
            <w:tcBorders>
              <w:top w:val="nil"/>
              <w:bottom w:val="nil"/>
            </w:tcBorders>
          </w:tcPr>
          <w:p w14:paraId="6339CD98" w14:textId="6453E4B3" w:rsidR="00EC1479" w:rsidRPr="00096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10169">
              <w:rPr>
                <w:rFonts w:ascii="Arial" w:hAnsi="Arial" w:cs="Arial"/>
                <w:color w:val="000000"/>
                <w:sz w:val="18"/>
                <w:szCs w:val="18"/>
              </w:rPr>
              <w:t>+</w:t>
            </w:r>
            <w:r w:rsidR="00C75084">
              <w:rPr>
                <w:rFonts w:ascii="Arial" w:hAnsi="Arial" w:cs="Arial"/>
                <w:color w:val="000000"/>
                <w:sz w:val="18"/>
                <w:szCs w:val="18"/>
              </w:rPr>
              <w:t>15.6</w:t>
            </w:r>
            <w:r w:rsidRPr="00C10169">
              <w:rPr>
                <w:rFonts w:ascii="Arial" w:hAnsi="Arial" w:cs="Arial"/>
                <w:color w:val="000000"/>
                <w:sz w:val="18"/>
                <w:szCs w:val="18"/>
              </w:rPr>
              <w:t>%</w:t>
            </w:r>
          </w:p>
        </w:tc>
        <w:tc>
          <w:tcPr>
            <w:tcW w:w="1333" w:type="dxa"/>
            <w:tcBorders>
              <w:top w:val="nil"/>
              <w:bottom w:val="nil"/>
            </w:tcBorders>
          </w:tcPr>
          <w:p w14:paraId="3B9119FC" w14:textId="11A0B161" w:rsidR="00EC1479" w:rsidRPr="000961A2"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10169">
              <w:rPr>
                <w:rFonts w:ascii="Arial" w:hAnsi="Arial" w:cs="Arial"/>
                <w:color w:val="000000"/>
                <w:sz w:val="18"/>
                <w:szCs w:val="18"/>
              </w:rPr>
              <w:t>+</w:t>
            </w:r>
            <w:r w:rsidR="00C75084">
              <w:rPr>
                <w:rFonts w:ascii="Arial" w:hAnsi="Arial" w:cs="Arial"/>
                <w:color w:val="000000"/>
                <w:sz w:val="18"/>
                <w:szCs w:val="18"/>
              </w:rPr>
              <w:t>14.5</w:t>
            </w:r>
            <w:r w:rsidRPr="00C10169">
              <w:rPr>
                <w:rFonts w:ascii="Arial" w:hAnsi="Arial" w:cs="Arial"/>
                <w:color w:val="000000"/>
                <w:sz w:val="18"/>
                <w:szCs w:val="18"/>
              </w:rPr>
              <w:t>%</w:t>
            </w:r>
          </w:p>
        </w:tc>
      </w:tr>
    </w:tbl>
    <w:p w14:paraId="08E9ABC4" w14:textId="77777777" w:rsidR="00A03097" w:rsidRPr="00216643" w:rsidRDefault="00A03097" w:rsidP="00A03097">
      <w:pPr>
        <w:pStyle w:val="NoSpacing"/>
        <w:rPr>
          <w:rFonts w:ascii="Arial" w:hAnsi="Arial" w:cs="Arial"/>
          <w:sz w:val="10"/>
          <w:szCs w:val="10"/>
        </w:rPr>
      </w:pPr>
    </w:p>
    <w:p w14:paraId="076F25B2" w14:textId="77777777" w:rsidR="00A03097" w:rsidRDefault="00A03097" w:rsidP="00A03097">
      <w:pPr>
        <w:pStyle w:val="NoSpacing"/>
        <w:rPr>
          <w:rFonts w:ascii="Arial" w:hAnsi="Arial" w:cs="Arial"/>
          <w:color w:val="7F7F7F" w:themeColor="text1" w:themeTint="80"/>
          <w:sz w:val="16"/>
          <w:szCs w:val="16"/>
        </w:rPr>
      </w:pPr>
      <w:r w:rsidRPr="00EC07EE">
        <w:rPr>
          <w:rFonts w:ascii="Arial" w:hAnsi="Arial" w:cs="Arial"/>
          <w:color w:val="7F7F7F" w:themeColor="text1" w:themeTint="80"/>
          <w:sz w:val="16"/>
          <w:szCs w:val="16"/>
        </w:rPr>
        <w:t xml:space="preserve">Source: </w:t>
      </w:r>
      <w:proofErr w:type="spellStart"/>
      <w:r w:rsidRPr="00EC07EE">
        <w:rPr>
          <w:rFonts w:ascii="Arial" w:hAnsi="Arial" w:cs="Arial"/>
          <w:color w:val="7F7F7F" w:themeColor="text1" w:themeTint="80"/>
          <w:sz w:val="16"/>
          <w:szCs w:val="16"/>
        </w:rPr>
        <w:t>Circana</w:t>
      </w:r>
      <w:proofErr w:type="spellEnd"/>
      <w:r w:rsidRPr="00EC07EE">
        <w:rPr>
          <w:rFonts w:ascii="Arial" w:hAnsi="Arial" w:cs="Arial"/>
          <w:color w:val="7F7F7F" w:themeColor="text1" w:themeTint="80"/>
          <w:sz w:val="16"/>
          <w:szCs w:val="16"/>
        </w:rPr>
        <w:t xml:space="preserve">, Total US, </w:t>
      </w:r>
      <w:r>
        <w:rPr>
          <w:rFonts w:ascii="Arial" w:hAnsi="Arial" w:cs="Arial"/>
          <w:color w:val="7F7F7F" w:themeColor="text1" w:themeTint="80"/>
          <w:sz w:val="16"/>
          <w:szCs w:val="16"/>
        </w:rPr>
        <w:t>MULO+</w:t>
      </w:r>
      <w:r w:rsidRPr="00EC07EE">
        <w:rPr>
          <w:rFonts w:ascii="Arial" w:hAnsi="Arial" w:cs="Arial"/>
          <w:color w:val="7F7F7F" w:themeColor="text1" w:themeTint="80"/>
          <w:sz w:val="16"/>
          <w:szCs w:val="16"/>
        </w:rPr>
        <w:t>, Integrated Fresh, % increase versus same period year ago, deli prepared foods including both fixed and random weight, includes known deli products</w:t>
      </w:r>
    </w:p>
    <w:p w14:paraId="4E05C693" w14:textId="77777777" w:rsidR="00A03097" w:rsidRPr="00EC07EE" w:rsidRDefault="00A03097" w:rsidP="00A03097">
      <w:pPr>
        <w:pStyle w:val="NoSpacing"/>
        <w:rPr>
          <w:rFonts w:ascii="Arial" w:hAnsi="Arial" w:cs="Arial"/>
          <w:color w:val="7F7F7F" w:themeColor="text1" w:themeTint="80"/>
          <w:sz w:val="16"/>
          <w:szCs w:val="16"/>
        </w:rPr>
      </w:pPr>
    </w:p>
    <w:p w14:paraId="4E9FD5FC" w14:textId="77777777" w:rsidR="00A03097" w:rsidRDefault="00A03097" w:rsidP="00A03097">
      <w:pPr>
        <w:pStyle w:val="NoSpacing"/>
        <w:rPr>
          <w:rFonts w:ascii="Arial" w:hAnsi="Arial" w:cs="Arial"/>
          <w:sz w:val="16"/>
          <w:szCs w:val="16"/>
        </w:rPr>
      </w:pPr>
    </w:p>
    <w:p w14:paraId="64E1038E" w14:textId="77777777" w:rsidR="00A03097" w:rsidRPr="003E0342" w:rsidRDefault="00A03097" w:rsidP="00A03097">
      <w:pPr>
        <w:spacing w:after="0" w:line="240" w:lineRule="auto"/>
        <w:rPr>
          <w:rFonts w:ascii="Arial" w:hAnsi="Arial" w:cs="Arial"/>
          <w:b/>
          <w:color w:val="595959" w:themeColor="text1" w:themeTint="A6"/>
          <w:szCs w:val="28"/>
        </w:rPr>
      </w:pPr>
      <w:r w:rsidRPr="003E0342">
        <w:rPr>
          <w:rFonts w:ascii="Arial" w:hAnsi="Arial" w:cs="Arial"/>
          <w:b/>
          <w:color w:val="595959" w:themeColor="text1" w:themeTint="A6"/>
          <w:szCs w:val="28"/>
        </w:rPr>
        <w:t>Deli Prepared</w:t>
      </w:r>
    </w:p>
    <w:p w14:paraId="275244B7" w14:textId="2EA05D2D" w:rsidR="00A03097" w:rsidRDefault="00E85BEE" w:rsidP="00A03097">
      <w:pPr>
        <w:spacing w:after="0" w:line="240" w:lineRule="auto"/>
        <w:rPr>
          <w:rFonts w:ascii="Arial" w:hAnsi="Arial" w:cs="Arial"/>
          <w:sz w:val="20"/>
          <w:szCs w:val="20"/>
        </w:rPr>
      </w:pPr>
      <w:r>
        <w:rPr>
          <w:rFonts w:ascii="Arial" w:hAnsi="Arial" w:cs="Arial"/>
          <w:sz w:val="20"/>
          <w:szCs w:val="20"/>
        </w:rPr>
        <w:t xml:space="preserve">While sales for retail deli-prepared foods and meals grew year-over-year in </w:t>
      </w:r>
      <w:r w:rsidR="000A2703">
        <w:rPr>
          <w:rFonts w:ascii="Arial" w:hAnsi="Arial" w:cs="Arial"/>
          <w:sz w:val="20"/>
          <w:szCs w:val="20"/>
        </w:rPr>
        <w:t>June</w:t>
      </w:r>
      <w:r>
        <w:rPr>
          <w:rFonts w:ascii="Arial" w:hAnsi="Arial" w:cs="Arial"/>
          <w:sz w:val="20"/>
          <w:szCs w:val="20"/>
        </w:rPr>
        <w:t xml:space="preserve">, the rate of growth was far below that of the full year. </w:t>
      </w:r>
      <w:r w:rsidR="003E6DB7">
        <w:rPr>
          <w:rFonts w:ascii="Arial" w:hAnsi="Arial" w:cs="Arial"/>
          <w:sz w:val="20"/>
          <w:szCs w:val="20"/>
        </w:rPr>
        <w:t xml:space="preserve">In a change from an otherwise strong year, prepared meats lost ground in June, much like pizza and combination meals. Contrary to lettuce and salad in the produce department, ready-to-eat salads in the deli department showed strong growth in dollars and units. </w:t>
      </w:r>
    </w:p>
    <w:p w14:paraId="1A22EA10" w14:textId="77777777" w:rsidR="00A03097" w:rsidRDefault="00A03097" w:rsidP="00A03097">
      <w:pPr>
        <w:spacing w:after="0" w:line="240" w:lineRule="auto"/>
        <w:rPr>
          <w:rFonts w:ascii="Arial" w:hAnsi="Arial" w:cs="Arial"/>
          <w:sz w:val="20"/>
          <w:szCs w:val="20"/>
        </w:rPr>
      </w:pPr>
    </w:p>
    <w:tbl>
      <w:tblPr>
        <w:tblStyle w:val="ListTable6Colorful"/>
        <w:tblW w:w="10440" w:type="dxa"/>
        <w:tblLayout w:type="fixed"/>
        <w:tblLook w:val="04A0" w:firstRow="1" w:lastRow="0" w:firstColumn="1" w:lastColumn="0" w:noHBand="0" w:noVBand="1"/>
      </w:tblPr>
      <w:tblGrid>
        <w:gridCol w:w="1707"/>
        <w:gridCol w:w="900"/>
        <w:gridCol w:w="90"/>
        <w:gridCol w:w="1075"/>
        <w:gridCol w:w="1332"/>
        <w:gridCol w:w="1733"/>
        <w:gridCol w:w="934"/>
        <w:gridCol w:w="1332"/>
        <w:gridCol w:w="1337"/>
      </w:tblGrid>
      <w:tr w:rsidR="00A03097" w:rsidRPr="0003007F" w14:paraId="569F3438" w14:textId="77777777" w:rsidTr="00E85BE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07" w:type="dxa"/>
            <w:tcBorders>
              <w:top w:val="nil"/>
              <w:bottom w:val="nil"/>
            </w:tcBorders>
            <w:shd w:val="clear" w:color="auto" w:fill="0F243E" w:themeFill="text2" w:themeFillShade="80"/>
          </w:tcPr>
          <w:p w14:paraId="487A2986" w14:textId="77777777" w:rsidR="00A03097" w:rsidRPr="00AB1306" w:rsidRDefault="00A03097" w:rsidP="000D0537">
            <w:pPr>
              <w:pStyle w:val="NoSpacing"/>
              <w:rPr>
                <w:rFonts w:ascii="Arial" w:hAnsi="Arial" w:cs="Arial"/>
                <w:color w:val="FFFFFF" w:themeColor="background1"/>
                <w:sz w:val="18"/>
                <w:szCs w:val="18"/>
              </w:rPr>
            </w:pPr>
          </w:p>
        </w:tc>
        <w:tc>
          <w:tcPr>
            <w:tcW w:w="3397" w:type="dxa"/>
            <w:gridSpan w:val="4"/>
            <w:tcBorders>
              <w:top w:val="nil"/>
              <w:bottom w:val="nil"/>
              <w:right w:val="single" w:sz="4" w:space="0" w:color="auto"/>
            </w:tcBorders>
            <w:shd w:val="clear" w:color="auto" w:fill="0F243E" w:themeFill="text2" w:themeFillShade="80"/>
            <w:vAlign w:val="center"/>
          </w:tcPr>
          <w:p w14:paraId="1197DEFC" w14:textId="026D1A33" w:rsidR="00A03097" w:rsidRPr="00E21863" w:rsidRDefault="000A2703"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June</w:t>
            </w:r>
            <w:r w:rsidR="00401B3C">
              <w:rPr>
                <w:rFonts w:ascii="Arial" w:hAnsi="Arial" w:cs="Arial"/>
                <w:color w:val="FFFFFF" w:themeColor="background1"/>
                <w:sz w:val="18"/>
                <w:szCs w:val="18"/>
              </w:rPr>
              <w:t xml:space="preserve"> 2025</w:t>
            </w:r>
          </w:p>
        </w:tc>
        <w:tc>
          <w:tcPr>
            <w:tcW w:w="1733" w:type="dxa"/>
            <w:tcBorders>
              <w:top w:val="nil"/>
              <w:left w:val="single" w:sz="4" w:space="0" w:color="auto"/>
              <w:bottom w:val="nil"/>
            </w:tcBorders>
            <w:shd w:val="clear" w:color="auto" w:fill="0F243E" w:themeFill="text2" w:themeFillShade="80"/>
          </w:tcPr>
          <w:p w14:paraId="0A523334" w14:textId="77777777" w:rsidR="00A03097" w:rsidRPr="00F515F4" w:rsidRDefault="00A03097" w:rsidP="000D053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3" w:type="dxa"/>
            <w:gridSpan w:val="3"/>
            <w:tcBorders>
              <w:top w:val="nil"/>
              <w:bottom w:val="nil"/>
            </w:tcBorders>
            <w:shd w:val="clear" w:color="auto" w:fill="0F243E" w:themeFill="text2" w:themeFillShade="80"/>
            <w:vAlign w:val="center"/>
          </w:tcPr>
          <w:p w14:paraId="0E831A93" w14:textId="77777777" w:rsidR="00A03097" w:rsidRPr="0003007F" w:rsidRDefault="00A03097" w:rsidP="000D0537">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A03097" w:rsidRPr="002A3B9B" w14:paraId="76D8A2F0" w14:textId="77777777" w:rsidTr="00E85BE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07" w:type="dxa"/>
            <w:tcBorders>
              <w:top w:val="nil"/>
              <w:bottom w:val="nil"/>
            </w:tcBorders>
            <w:shd w:val="clear" w:color="auto" w:fill="0F243E" w:themeFill="text2" w:themeFillShade="80"/>
          </w:tcPr>
          <w:p w14:paraId="34A338BD" w14:textId="77777777" w:rsidR="00A03097" w:rsidRPr="002A3B9B" w:rsidRDefault="00A03097" w:rsidP="000D0537">
            <w:pPr>
              <w:pStyle w:val="NoSpacing"/>
              <w:rPr>
                <w:rFonts w:ascii="Arial" w:hAnsi="Arial" w:cs="Arial"/>
                <w:color w:val="FFFFFF" w:themeColor="background1"/>
                <w:sz w:val="18"/>
                <w:szCs w:val="18"/>
              </w:rPr>
            </w:pPr>
            <w:r>
              <w:rPr>
                <w:rFonts w:ascii="Arial" w:hAnsi="Arial" w:cs="Arial"/>
                <w:color w:val="FFFFFF" w:themeColor="background1"/>
                <w:sz w:val="18"/>
                <w:szCs w:val="18"/>
              </w:rPr>
              <w:t>Deli prepared</w:t>
            </w:r>
          </w:p>
        </w:tc>
        <w:tc>
          <w:tcPr>
            <w:tcW w:w="900" w:type="dxa"/>
            <w:tcBorders>
              <w:top w:val="nil"/>
              <w:bottom w:val="nil"/>
            </w:tcBorders>
            <w:shd w:val="clear" w:color="auto" w:fill="0F243E" w:themeFill="text2" w:themeFillShade="80"/>
          </w:tcPr>
          <w:p w14:paraId="74C46FD1" w14:textId="77777777" w:rsidR="00A03097" w:rsidRPr="00E21863"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E21863">
              <w:rPr>
                <w:rFonts w:ascii="Arial" w:hAnsi="Arial" w:cs="Arial"/>
                <w:b/>
                <w:bCs/>
                <w:color w:val="FFFFFF" w:themeColor="background1"/>
                <w:sz w:val="18"/>
                <w:szCs w:val="18"/>
              </w:rPr>
              <w:t>$ sales</w:t>
            </w:r>
          </w:p>
        </w:tc>
        <w:tc>
          <w:tcPr>
            <w:tcW w:w="1165" w:type="dxa"/>
            <w:gridSpan w:val="2"/>
            <w:tcBorders>
              <w:top w:val="nil"/>
              <w:bottom w:val="nil"/>
            </w:tcBorders>
            <w:shd w:val="clear" w:color="auto" w:fill="0F243E" w:themeFill="text2" w:themeFillShade="80"/>
          </w:tcPr>
          <w:p w14:paraId="2F0297DE" w14:textId="77777777" w:rsidR="00A03097" w:rsidRPr="00E21863" w:rsidRDefault="00A03097" w:rsidP="000D0537">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color w:val="FFFFFF" w:themeColor="background1"/>
                <w:sz w:val="18"/>
                <w:szCs w:val="18"/>
              </w:rPr>
              <w:t>$ vs. YA</w:t>
            </w:r>
          </w:p>
        </w:tc>
        <w:tc>
          <w:tcPr>
            <w:tcW w:w="1332" w:type="dxa"/>
            <w:tcBorders>
              <w:top w:val="nil"/>
              <w:bottom w:val="nil"/>
              <w:right w:val="single" w:sz="4" w:space="0" w:color="auto"/>
            </w:tcBorders>
            <w:shd w:val="clear" w:color="auto" w:fill="0F243E" w:themeFill="text2" w:themeFillShade="80"/>
          </w:tcPr>
          <w:p w14:paraId="1188EBB4" w14:textId="77777777" w:rsidR="00A03097" w:rsidRPr="00E21863"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Units vs. YA</w:t>
            </w:r>
          </w:p>
        </w:tc>
        <w:tc>
          <w:tcPr>
            <w:tcW w:w="1733" w:type="dxa"/>
            <w:tcBorders>
              <w:top w:val="nil"/>
              <w:left w:val="single" w:sz="4" w:space="0" w:color="auto"/>
              <w:bottom w:val="nil"/>
            </w:tcBorders>
            <w:shd w:val="clear" w:color="auto" w:fill="0F243E" w:themeFill="text2" w:themeFillShade="80"/>
          </w:tcPr>
          <w:p w14:paraId="4CC719E1" w14:textId="77777777" w:rsidR="00A03097" w:rsidRPr="00E21863"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934" w:type="dxa"/>
            <w:tcBorders>
              <w:top w:val="nil"/>
              <w:bottom w:val="nil"/>
            </w:tcBorders>
            <w:shd w:val="clear" w:color="auto" w:fill="0F243E" w:themeFill="text2" w:themeFillShade="80"/>
          </w:tcPr>
          <w:p w14:paraId="0D389D24"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sales</w:t>
            </w:r>
          </w:p>
        </w:tc>
        <w:tc>
          <w:tcPr>
            <w:tcW w:w="1332" w:type="dxa"/>
            <w:tcBorders>
              <w:top w:val="nil"/>
              <w:bottom w:val="nil"/>
            </w:tcBorders>
            <w:shd w:val="clear" w:color="auto" w:fill="0F243E" w:themeFill="text2" w:themeFillShade="80"/>
          </w:tcPr>
          <w:p w14:paraId="4FF11DBB"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w:t>
            </w:r>
            <w:r>
              <w:rPr>
                <w:rFonts w:ascii="Arial" w:hAnsi="Arial" w:cs="Arial"/>
                <w:b/>
                <w:bCs/>
                <w:color w:val="FFFFFF" w:themeColor="background1"/>
                <w:sz w:val="18"/>
                <w:szCs w:val="18"/>
              </w:rPr>
              <w:t xml:space="preserve"> vs. YA</w:t>
            </w:r>
          </w:p>
        </w:tc>
        <w:tc>
          <w:tcPr>
            <w:tcW w:w="1337" w:type="dxa"/>
            <w:tcBorders>
              <w:top w:val="nil"/>
              <w:bottom w:val="nil"/>
            </w:tcBorders>
            <w:shd w:val="clear" w:color="auto" w:fill="0F243E" w:themeFill="text2" w:themeFillShade="80"/>
          </w:tcPr>
          <w:p w14:paraId="700E7CDA" w14:textId="77777777" w:rsidR="00A03097" w:rsidRPr="002A3B9B" w:rsidRDefault="00A03097" w:rsidP="000D053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 xml:space="preserve">Units </w:t>
            </w:r>
            <w:r w:rsidRPr="002A3B9B">
              <w:rPr>
                <w:rFonts w:ascii="Arial" w:hAnsi="Arial" w:cs="Arial"/>
                <w:b/>
                <w:bCs/>
                <w:color w:val="FFFFFF" w:themeColor="background1"/>
                <w:sz w:val="18"/>
                <w:szCs w:val="18"/>
              </w:rPr>
              <w:t>vs. YA</w:t>
            </w:r>
          </w:p>
        </w:tc>
      </w:tr>
      <w:tr w:rsidR="00A03097" w:rsidRPr="004440D5" w14:paraId="437BEC92" w14:textId="77777777" w:rsidTr="00607CEC">
        <w:trPr>
          <w:trHeight w:val="257"/>
        </w:trPr>
        <w:tc>
          <w:tcPr>
            <w:cnfStyle w:val="001000000000" w:firstRow="0" w:lastRow="0" w:firstColumn="1" w:lastColumn="0" w:oddVBand="0" w:evenVBand="0" w:oddHBand="0" w:evenHBand="0" w:firstRowFirstColumn="0" w:firstRowLastColumn="0" w:lastRowFirstColumn="0" w:lastRowLastColumn="0"/>
            <w:tcW w:w="1707" w:type="dxa"/>
            <w:tcBorders>
              <w:top w:val="nil"/>
              <w:bottom w:val="nil"/>
            </w:tcBorders>
            <w:vAlign w:val="center"/>
          </w:tcPr>
          <w:p w14:paraId="6FEFD92E" w14:textId="77777777" w:rsidR="00A03097" w:rsidRPr="00FF78BB" w:rsidRDefault="00A03097" w:rsidP="000D0537">
            <w:pPr>
              <w:pStyle w:val="NoSpacing"/>
              <w:rPr>
                <w:rFonts w:ascii="Arial" w:hAnsi="Arial" w:cs="Arial"/>
                <w:sz w:val="18"/>
                <w:szCs w:val="18"/>
              </w:rPr>
            </w:pPr>
            <w:r w:rsidRPr="00FF78BB">
              <w:rPr>
                <w:rFonts w:ascii="Arial" w:hAnsi="Arial" w:cs="Arial"/>
                <w:sz w:val="18"/>
                <w:szCs w:val="18"/>
              </w:rPr>
              <w:t>Deli prepared</w:t>
            </w:r>
          </w:p>
        </w:tc>
        <w:tc>
          <w:tcPr>
            <w:tcW w:w="990" w:type="dxa"/>
            <w:gridSpan w:val="2"/>
            <w:tcBorders>
              <w:top w:val="nil"/>
            </w:tcBorders>
            <w:vAlign w:val="center"/>
          </w:tcPr>
          <w:p w14:paraId="5F6BADA0" w14:textId="09F1E36E" w:rsidR="00A03097" w:rsidRPr="00571214" w:rsidRDefault="00A03097" w:rsidP="00607C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71214">
              <w:rPr>
                <w:rFonts w:ascii="Arial" w:hAnsi="Arial" w:cs="Arial"/>
                <w:b/>
                <w:bCs/>
                <w:sz w:val="18"/>
                <w:szCs w:val="18"/>
              </w:rPr>
              <w:t>$</w:t>
            </w:r>
            <w:r w:rsidR="00C75084">
              <w:rPr>
                <w:rFonts w:ascii="Arial" w:hAnsi="Arial" w:cs="Arial"/>
                <w:b/>
                <w:bCs/>
                <w:sz w:val="18"/>
                <w:szCs w:val="18"/>
              </w:rPr>
              <w:t>2.5</w:t>
            </w:r>
            <w:r w:rsidRPr="00571214">
              <w:rPr>
                <w:rFonts w:ascii="Arial" w:hAnsi="Arial" w:cs="Arial"/>
                <w:b/>
                <w:color w:val="auto"/>
                <w:sz w:val="18"/>
                <w:szCs w:val="18"/>
              </w:rPr>
              <w:t>B</w:t>
            </w:r>
          </w:p>
        </w:tc>
        <w:tc>
          <w:tcPr>
            <w:tcW w:w="1075" w:type="dxa"/>
            <w:tcBorders>
              <w:top w:val="nil"/>
            </w:tcBorders>
            <w:vAlign w:val="center"/>
          </w:tcPr>
          <w:p w14:paraId="40F0ACF7" w14:textId="67E7FF96" w:rsidR="00A03097" w:rsidRPr="00571214" w:rsidRDefault="00A03097" w:rsidP="00607C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71214">
              <w:rPr>
                <w:rFonts w:ascii="Arial" w:hAnsi="Arial" w:cs="Arial"/>
                <w:b/>
                <w:color w:val="000000"/>
                <w:sz w:val="18"/>
                <w:szCs w:val="18"/>
              </w:rPr>
              <w:t>+</w:t>
            </w:r>
            <w:r w:rsidR="007A7A81">
              <w:rPr>
                <w:rFonts w:ascii="Arial" w:hAnsi="Arial" w:cs="Arial"/>
                <w:b/>
                <w:color w:val="000000"/>
                <w:sz w:val="18"/>
                <w:szCs w:val="18"/>
              </w:rPr>
              <w:t>2.2</w:t>
            </w:r>
            <w:r w:rsidRPr="00571214">
              <w:rPr>
                <w:rFonts w:ascii="Arial" w:hAnsi="Arial" w:cs="Arial"/>
                <w:b/>
                <w:color w:val="000000"/>
                <w:sz w:val="18"/>
                <w:szCs w:val="18"/>
              </w:rPr>
              <w:t>%</w:t>
            </w:r>
          </w:p>
        </w:tc>
        <w:tc>
          <w:tcPr>
            <w:tcW w:w="1332" w:type="dxa"/>
            <w:tcBorders>
              <w:top w:val="nil"/>
              <w:right w:val="single" w:sz="4" w:space="0" w:color="auto"/>
            </w:tcBorders>
            <w:vAlign w:val="center"/>
          </w:tcPr>
          <w:p w14:paraId="6C285166" w14:textId="4E5A7BDE" w:rsidR="00A03097" w:rsidRPr="00571214" w:rsidRDefault="00A03097" w:rsidP="00607C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71214">
              <w:rPr>
                <w:rFonts w:ascii="Arial" w:hAnsi="Arial" w:cs="Arial"/>
                <w:b/>
                <w:color w:val="000000"/>
                <w:sz w:val="18"/>
                <w:szCs w:val="18"/>
              </w:rPr>
              <w:t>+</w:t>
            </w:r>
            <w:r w:rsidR="007A7A81">
              <w:rPr>
                <w:rFonts w:ascii="Arial" w:hAnsi="Arial" w:cs="Arial"/>
                <w:b/>
                <w:color w:val="000000"/>
                <w:sz w:val="18"/>
                <w:szCs w:val="18"/>
              </w:rPr>
              <w:t>1.1</w:t>
            </w:r>
            <w:r w:rsidRPr="00571214">
              <w:rPr>
                <w:rFonts w:ascii="Arial" w:hAnsi="Arial" w:cs="Arial"/>
                <w:b/>
                <w:color w:val="000000"/>
                <w:sz w:val="18"/>
                <w:szCs w:val="18"/>
              </w:rPr>
              <w:t>%</w:t>
            </w:r>
          </w:p>
        </w:tc>
        <w:tc>
          <w:tcPr>
            <w:tcW w:w="1733" w:type="dxa"/>
            <w:tcBorders>
              <w:top w:val="nil"/>
              <w:left w:val="single" w:sz="4" w:space="0" w:color="auto"/>
            </w:tcBorders>
            <w:vAlign w:val="center"/>
          </w:tcPr>
          <w:p w14:paraId="61C7B5CE" w14:textId="77777777" w:rsidR="00A03097" w:rsidRPr="000046C7" w:rsidRDefault="00A03097" w:rsidP="000D0537">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046C7">
              <w:rPr>
                <w:rFonts w:ascii="Arial" w:hAnsi="Arial" w:cs="Arial"/>
                <w:b/>
                <w:sz w:val="18"/>
                <w:szCs w:val="18"/>
              </w:rPr>
              <w:t>Deli prepared</w:t>
            </w:r>
          </w:p>
        </w:tc>
        <w:tc>
          <w:tcPr>
            <w:tcW w:w="934" w:type="dxa"/>
            <w:tcBorders>
              <w:top w:val="nil"/>
            </w:tcBorders>
            <w:vAlign w:val="center"/>
          </w:tcPr>
          <w:p w14:paraId="45969480" w14:textId="0B9A6D17" w:rsidR="00A03097" w:rsidRPr="00571214" w:rsidRDefault="00A03097" w:rsidP="00607C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71214">
              <w:rPr>
                <w:rFonts w:ascii="Arial" w:hAnsi="Arial" w:cs="Arial"/>
                <w:b/>
                <w:color w:val="auto"/>
                <w:sz w:val="18"/>
                <w:szCs w:val="18"/>
              </w:rPr>
              <w:t>$</w:t>
            </w:r>
            <w:r w:rsidR="007A7A81">
              <w:rPr>
                <w:rFonts w:ascii="Arial" w:hAnsi="Arial" w:cs="Arial"/>
                <w:b/>
                <w:color w:val="auto"/>
                <w:sz w:val="18"/>
                <w:szCs w:val="18"/>
              </w:rPr>
              <w:t>32.2</w:t>
            </w:r>
            <w:r w:rsidRPr="00571214">
              <w:rPr>
                <w:rFonts w:ascii="Arial" w:hAnsi="Arial" w:cs="Arial"/>
                <w:b/>
                <w:color w:val="auto"/>
                <w:sz w:val="18"/>
                <w:szCs w:val="18"/>
              </w:rPr>
              <w:t>B</w:t>
            </w:r>
          </w:p>
        </w:tc>
        <w:tc>
          <w:tcPr>
            <w:tcW w:w="1332" w:type="dxa"/>
            <w:tcBorders>
              <w:top w:val="nil"/>
            </w:tcBorders>
            <w:vAlign w:val="center"/>
          </w:tcPr>
          <w:p w14:paraId="3CCBC539" w14:textId="1DA67D2C" w:rsidR="00A03097" w:rsidRPr="00571214" w:rsidRDefault="00A03097" w:rsidP="00607C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71214">
              <w:rPr>
                <w:rFonts w:ascii="Arial" w:hAnsi="Arial" w:cs="Arial"/>
                <w:b/>
                <w:color w:val="000000"/>
                <w:sz w:val="18"/>
                <w:szCs w:val="18"/>
              </w:rPr>
              <w:t>+</w:t>
            </w:r>
            <w:r w:rsidR="007A7A81">
              <w:rPr>
                <w:rFonts w:ascii="Arial" w:hAnsi="Arial" w:cs="Arial"/>
                <w:b/>
                <w:color w:val="000000"/>
                <w:sz w:val="18"/>
                <w:szCs w:val="18"/>
              </w:rPr>
              <w:t>5.0</w:t>
            </w:r>
            <w:r w:rsidRPr="00571214">
              <w:rPr>
                <w:rFonts w:ascii="Arial" w:hAnsi="Arial" w:cs="Arial"/>
                <w:b/>
                <w:color w:val="000000"/>
                <w:sz w:val="18"/>
                <w:szCs w:val="18"/>
              </w:rPr>
              <w:t>%</w:t>
            </w:r>
          </w:p>
        </w:tc>
        <w:tc>
          <w:tcPr>
            <w:tcW w:w="1337" w:type="dxa"/>
            <w:tcBorders>
              <w:top w:val="nil"/>
            </w:tcBorders>
            <w:vAlign w:val="center"/>
          </w:tcPr>
          <w:p w14:paraId="7059E390" w14:textId="4832B325" w:rsidR="00A03097" w:rsidRPr="00571214" w:rsidRDefault="000D0537" w:rsidP="00607C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color w:val="000000"/>
                <w:sz w:val="18"/>
                <w:szCs w:val="18"/>
              </w:rPr>
              <w:t>+</w:t>
            </w:r>
            <w:r w:rsidR="007A7A81">
              <w:rPr>
                <w:rFonts w:ascii="Arial" w:hAnsi="Arial" w:cs="Arial"/>
                <w:b/>
                <w:color w:val="000000"/>
                <w:sz w:val="18"/>
                <w:szCs w:val="18"/>
              </w:rPr>
              <w:t>4.1</w:t>
            </w:r>
            <w:r w:rsidR="00A03097" w:rsidRPr="00571214">
              <w:rPr>
                <w:rFonts w:ascii="Arial" w:hAnsi="Arial" w:cs="Arial"/>
                <w:b/>
                <w:color w:val="000000"/>
                <w:sz w:val="18"/>
                <w:szCs w:val="18"/>
              </w:rPr>
              <w:t>%</w:t>
            </w:r>
          </w:p>
        </w:tc>
      </w:tr>
      <w:tr w:rsidR="00EC1479" w:rsidRPr="004C4D23" w14:paraId="25533F62"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tcBorders>
              <w:top w:val="nil"/>
            </w:tcBorders>
            <w:vAlign w:val="center"/>
          </w:tcPr>
          <w:p w14:paraId="042F6E31" w14:textId="77777777" w:rsidR="00EC1479" w:rsidRPr="00FF78BB" w:rsidRDefault="00EC1479" w:rsidP="00EC1479">
            <w:pPr>
              <w:pStyle w:val="NoSpacing"/>
              <w:rPr>
                <w:rFonts w:ascii="Arial" w:hAnsi="Arial" w:cs="Arial"/>
                <w:b w:val="0"/>
                <w:bCs w:val="0"/>
                <w:sz w:val="18"/>
                <w:szCs w:val="18"/>
              </w:rPr>
            </w:pPr>
            <w:r w:rsidRPr="00FF78BB">
              <w:rPr>
                <w:rFonts w:ascii="Arial" w:hAnsi="Arial" w:cs="Arial"/>
                <w:b w:val="0"/>
                <w:bCs w:val="0"/>
                <w:sz w:val="18"/>
                <w:szCs w:val="18"/>
              </w:rPr>
              <w:t>Entrees</w:t>
            </w:r>
          </w:p>
        </w:tc>
        <w:tc>
          <w:tcPr>
            <w:tcW w:w="990" w:type="dxa"/>
            <w:gridSpan w:val="2"/>
          </w:tcPr>
          <w:p w14:paraId="2AA2F66A" w14:textId="04373F28" w:rsidR="00EC1479" w:rsidRPr="00FF78B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C75084">
              <w:rPr>
                <w:rFonts w:ascii="Arial" w:hAnsi="Arial" w:cs="Arial"/>
                <w:color w:val="auto"/>
                <w:sz w:val="18"/>
                <w:szCs w:val="18"/>
              </w:rPr>
              <w:t>683</w:t>
            </w:r>
            <w:r w:rsidRPr="007C0065">
              <w:rPr>
                <w:rFonts w:ascii="Arial" w:hAnsi="Arial" w:cs="Arial"/>
                <w:color w:val="auto"/>
                <w:sz w:val="18"/>
                <w:szCs w:val="18"/>
              </w:rPr>
              <w:t>M</w:t>
            </w:r>
          </w:p>
        </w:tc>
        <w:tc>
          <w:tcPr>
            <w:tcW w:w="1075" w:type="dxa"/>
          </w:tcPr>
          <w:p w14:paraId="48D40538" w14:textId="5F226E1A" w:rsidR="00EC1479" w:rsidRPr="00DE21B8"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F0B26">
              <w:rPr>
                <w:rFonts w:ascii="Arial" w:hAnsi="Arial" w:cs="Arial"/>
                <w:color w:val="000000"/>
                <w:sz w:val="18"/>
                <w:szCs w:val="18"/>
              </w:rPr>
              <w:t>+</w:t>
            </w:r>
            <w:r w:rsidR="007A7A81">
              <w:rPr>
                <w:rFonts w:ascii="Arial" w:hAnsi="Arial" w:cs="Arial"/>
                <w:color w:val="000000"/>
                <w:sz w:val="18"/>
                <w:szCs w:val="18"/>
              </w:rPr>
              <w:t>4.7</w:t>
            </w:r>
            <w:r w:rsidRPr="00FF0B26">
              <w:rPr>
                <w:rFonts w:ascii="Arial" w:hAnsi="Arial" w:cs="Arial"/>
                <w:color w:val="000000"/>
                <w:sz w:val="18"/>
                <w:szCs w:val="18"/>
              </w:rPr>
              <w:t>%</w:t>
            </w:r>
          </w:p>
        </w:tc>
        <w:tc>
          <w:tcPr>
            <w:tcW w:w="1332" w:type="dxa"/>
            <w:tcBorders>
              <w:right w:val="single" w:sz="4" w:space="0" w:color="auto"/>
            </w:tcBorders>
          </w:tcPr>
          <w:p w14:paraId="08D8FE7A" w14:textId="2196E279" w:rsidR="00EC1479" w:rsidRPr="004F6785"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0B26">
              <w:rPr>
                <w:rFonts w:ascii="Arial" w:hAnsi="Arial" w:cs="Arial"/>
                <w:color w:val="000000"/>
                <w:sz w:val="18"/>
                <w:szCs w:val="18"/>
              </w:rPr>
              <w:t>+</w:t>
            </w:r>
            <w:r w:rsidR="007A7A81">
              <w:rPr>
                <w:rFonts w:ascii="Arial" w:hAnsi="Arial" w:cs="Arial"/>
                <w:color w:val="000000"/>
                <w:sz w:val="18"/>
                <w:szCs w:val="18"/>
              </w:rPr>
              <w:t>3.5</w:t>
            </w:r>
            <w:r w:rsidRPr="00FF0B26">
              <w:rPr>
                <w:rFonts w:ascii="Arial" w:hAnsi="Arial" w:cs="Arial"/>
                <w:color w:val="000000"/>
                <w:sz w:val="18"/>
                <w:szCs w:val="18"/>
              </w:rPr>
              <w:t>%</w:t>
            </w:r>
          </w:p>
        </w:tc>
        <w:tc>
          <w:tcPr>
            <w:tcW w:w="1733" w:type="dxa"/>
            <w:tcBorders>
              <w:left w:val="single" w:sz="4" w:space="0" w:color="auto"/>
            </w:tcBorders>
            <w:vAlign w:val="center"/>
          </w:tcPr>
          <w:p w14:paraId="07A74C97" w14:textId="77777777" w:rsidR="00EC1479" w:rsidRPr="00FF78BB"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78BB">
              <w:rPr>
                <w:rFonts w:ascii="Arial" w:hAnsi="Arial" w:cs="Arial"/>
                <w:sz w:val="18"/>
                <w:szCs w:val="18"/>
              </w:rPr>
              <w:t>Entrees</w:t>
            </w:r>
          </w:p>
        </w:tc>
        <w:tc>
          <w:tcPr>
            <w:tcW w:w="934" w:type="dxa"/>
          </w:tcPr>
          <w:p w14:paraId="3831EE29" w14:textId="55C668F4" w:rsidR="00EC1479" w:rsidRPr="00FF78B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6EB5">
              <w:rPr>
                <w:rFonts w:ascii="Arial" w:hAnsi="Arial" w:cs="Arial"/>
                <w:color w:val="auto"/>
                <w:sz w:val="18"/>
                <w:szCs w:val="18"/>
              </w:rPr>
              <w:t>$</w:t>
            </w:r>
            <w:r w:rsidR="007A7A81">
              <w:rPr>
                <w:rFonts w:ascii="Arial" w:hAnsi="Arial" w:cs="Arial"/>
                <w:color w:val="auto"/>
                <w:sz w:val="18"/>
                <w:szCs w:val="18"/>
              </w:rPr>
              <w:t>8.7</w:t>
            </w:r>
            <w:r w:rsidRPr="00E96EB5">
              <w:rPr>
                <w:rFonts w:ascii="Arial" w:hAnsi="Arial" w:cs="Arial"/>
                <w:color w:val="auto"/>
                <w:sz w:val="18"/>
                <w:szCs w:val="18"/>
              </w:rPr>
              <w:t>B</w:t>
            </w:r>
          </w:p>
        </w:tc>
        <w:tc>
          <w:tcPr>
            <w:tcW w:w="1332" w:type="dxa"/>
          </w:tcPr>
          <w:p w14:paraId="6E8A624C" w14:textId="715063A9" w:rsidR="00EC1479" w:rsidRPr="00E85BEE"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5.1</w:t>
            </w:r>
            <w:r w:rsidRPr="00616444">
              <w:rPr>
                <w:rFonts w:ascii="Arial" w:hAnsi="Arial" w:cs="Arial"/>
                <w:color w:val="000000"/>
                <w:sz w:val="18"/>
                <w:szCs w:val="18"/>
              </w:rPr>
              <w:t>%</w:t>
            </w:r>
          </w:p>
        </w:tc>
        <w:tc>
          <w:tcPr>
            <w:tcW w:w="1337" w:type="dxa"/>
          </w:tcPr>
          <w:p w14:paraId="4DEA01C8" w14:textId="2082CBFA" w:rsidR="00EC1479" w:rsidRPr="00E85BEE"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3.7</w:t>
            </w:r>
            <w:r w:rsidRPr="00616444">
              <w:rPr>
                <w:rFonts w:ascii="Arial" w:hAnsi="Arial" w:cs="Arial"/>
                <w:color w:val="000000"/>
                <w:sz w:val="18"/>
                <w:szCs w:val="18"/>
              </w:rPr>
              <w:t>%</w:t>
            </w:r>
          </w:p>
        </w:tc>
      </w:tr>
      <w:tr w:rsidR="00EC1479" w:rsidRPr="004C4D23" w14:paraId="5CF0AC5D"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05B35165" w14:textId="77777777" w:rsidR="00EC1479" w:rsidRPr="00FF78BB" w:rsidRDefault="00EC1479" w:rsidP="00EC1479">
            <w:pPr>
              <w:pStyle w:val="NoSpacing"/>
              <w:rPr>
                <w:rFonts w:ascii="Arial" w:hAnsi="Arial" w:cs="Arial"/>
                <w:b w:val="0"/>
                <w:bCs w:val="0"/>
                <w:sz w:val="18"/>
                <w:szCs w:val="18"/>
              </w:rPr>
            </w:pPr>
            <w:r w:rsidRPr="00FF78BB">
              <w:rPr>
                <w:rFonts w:ascii="Arial" w:hAnsi="Arial" w:cs="Arial"/>
                <w:b w:val="0"/>
                <w:bCs w:val="0"/>
                <w:sz w:val="18"/>
                <w:szCs w:val="18"/>
              </w:rPr>
              <w:t>Prepared meats</w:t>
            </w:r>
          </w:p>
        </w:tc>
        <w:tc>
          <w:tcPr>
            <w:tcW w:w="990" w:type="dxa"/>
            <w:gridSpan w:val="2"/>
          </w:tcPr>
          <w:p w14:paraId="4B464B69" w14:textId="1758C61C" w:rsidR="00EC1479" w:rsidRPr="00FF78BB"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C75084">
              <w:rPr>
                <w:rFonts w:ascii="Arial" w:hAnsi="Arial" w:cs="Arial"/>
                <w:color w:val="auto"/>
                <w:sz w:val="18"/>
                <w:szCs w:val="18"/>
              </w:rPr>
              <w:t>482</w:t>
            </w:r>
            <w:r w:rsidRPr="007C0065">
              <w:rPr>
                <w:rFonts w:ascii="Arial" w:hAnsi="Arial" w:cs="Arial"/>
                <w:color w:val="auto"/>
                <w:sz w:val="18"/>
                <w:szCs w:val="18"/>
              </w:rPr>
              <w:t>M</w:t>
            </w:r>
          </w:p>
        </w:tc>
        <w:tc>
          <w:tcPr>
            <w:tcW w:w="1075" w:type="dxa"/>
          </w:tcPr>
          <w:p w14:paraId="62C7CC11" w14:textId="11AC076B" w:rsidR="00EC1479" w:rsidRPr="00DE21B8" w:rsidRDefault="007A7A81"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color w:val="000000"/>
                <w:sz w:val="18"/>
                <w:szCs w:val="18"/>
              </w:rPr>
              <w:t>-1.1</w:t>
            </w:r>
            <w:r w:rsidR="00EC1479" w:rsidRPr="00FF0B26">
              <w:rPr>
                <w:rFonts w:ascii="Arial" w:hAnsi="Arial" w:cs="Arial"/>
                <w:color w:val="000000"/>
                <w:sz w:val="18"/>
                <w:szCs w:val="18"/>
              </w:rPr>
              <w:t>%</w:t>
            </w:r>
          </w:p>
        </w:tc>
        <w:tc>
          <w:tcPr>
            <w:tcW w:w="1332" w:type="dxa"/>
            <w:tcBorders>
              <w:right w:val="single" w:sz="4" w:space="0" w:color="auto"/>
            </w:tcBorders>
          </w:tcPr>
          <w:p w14:paraId="25EC889C" w14:textId="467DDADC" w:rsidR="00EC1479" w:rsidRPr="004F6785" w:rsidRDefault="007A7A81"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-2.0</w:t>
            </w:r>
            <w:r w:rsidR="00EC1479" w:rsidRPr="00FF0B26">
              <w:rPr>
                <w:rFonts w:ascii="Arial" w:hAnsi="Arial" w:cs="Arial"/>
                <w:color w:val="000000"/>
                <w:sz w:val="18"/>
                <w:szCs w:val="18"/>
              </w:rPr>
              <w:t>%</w:t>
            </w:r>
          </w:p>
        </w:tc>
        <w:tc>
          <w:tcPr>
            <w:tcW w:w="1733" w:type="dxa"/>
            <w:tcBorders>
              <w:left w:val="single" w:sz="4" w:space="0" w:color="auto"/>
            </w:tcBorders>
            <w:vAlign w:val="center"/>
          </w:tcPr>
          <w:p w14:paraId="7E4199BE" w14:textId="77777777" w:rsidR="00EC1479" w:rsidRPr="00FF78BB"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78BB">
              <w:rPr>
                <w:rFonts w:ascii="Arial" w:hAnsi="Arial" w:cs="Arial"/>
                <w:sz w:val="18"/>
                <w:szCs w:val="18"/>
              </w:rPr>
              <w:t>Prepared meats</w:t>
            </w:r>
          </w:p>
        </w:tc>
        <w:tc>
          <w:tcPr>
            <w:tcW w:w="934" w:type="dxa"/>
          </w:tcPr>
          <w:p w14:paraId="35B3FC65" w14:textId="3EA1B694" w:rsidR="00EC1479" w:rsidRPr="00FF78BB"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6EB5">
              <w:rPr>
                <w:rFonts w:ascii="Arial" w:hAnsi="Arial" w:cs="Arial"/>
                <w:color w:val="auto"/>
                <w:sz w:val="18"/>
                <w:szCs w:val="18"/>
              </w:rPr>
              <w:t>$</w:t>
            </w:r>
            <w:r w:rsidR="007A7A81">
              <w:rPr>
                <w:rFonts w:ascii="Arial" w:hAnsi="Arial" w:cs="Arial"/>
                <w:color w:val="auto"/>
                <w:sz w:val="18"/>
                <w:szCs w:val="18"/>
              </w:rPr>
              <w:t>6.4</w:t>
            </w:r>
            <w:r w:rsidRPr="00E96EB5">
              <w:rPr>
                <w:rFonts w:ascii="Arial" w:hAnsi="Arial" w:cs="Arial"/>
                <w:color w:val="auto"/>
                <w:sz w:val="18"/>
                <w:szCs w:val="18"/>
              </w:rPr>
              <w:t>B</w:t>
            </w:r>
          </w:p>
        </w:tc>
        <w:tc>
          <w:tcPr>
            <w:tcW w:w="1332" w:type="dxa"/>
          </w:tcPr>
          <w:p w14:paraId="54E67798" w14:textId="4476FF87" w:rsidR="00EC1479" w:rsidRPr="00E85BEE"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5.6</w:t>
            </w:r>
            <w:r w:rsidRPr="00616444">
              <w:rPr>
                <w:rFonts w:ascii="Arial" w:hAnsi="Arial" w:cs="Arial"/>
                <w:color w:val="000000"/>
                <w:sz w:val="18"/>
                <w:szCs w:val="18"/>
              </w:rPr>
              <w:t>%</w:t>
            </w:r>
          </w:p>
        </w:tc>
        <w:tc>
          <w:tcPr>
            <w:tcW w:w="1337" w:type="dxa"/>
          </w:tcPr>
          <w:p w14:paraId="2886F84F" w14:textId="3A634D53" w:rsidR="00EC1479" w:rsidRPr="00E85BEE"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6.8</w:t>
            </w:r>
            <w:r w:rsidRPr="00616444">
              <w:rPr>
                <w:rFonts w:ascii="Arial" w:hAnsi="Arial" w:cs="Arial"/>
                <w:color w:val="000000"/>
                <w:sz w:val="18"/>
                <w:szCs w:val="18"/>
              </w:rPr>
              <w:t>%</w:t>
            </w:r>
          </w:p>
        </w:tc>
      </w:tr>
      <w:tr w:rsidR="00EC1479" w:rsidRPr="004C4D23" w14:paraId="21F47DB6"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1811586F" w14:textId="77777777" w:rsidR="00EC1479" w:rsidRPr="00FF78BB" w:rsidRDefault="00EC1479" w:rsidP="00EC1479">
            <w:pPr>
              <w:pStyle w:val="NoSpacing"/>
              <w:rPr>
                <w:rFonts w:ascii="Arial" w:hAnsi="Arial" w:cs="Arial"/>
                <w:b w:val="0"/>
                <w:bCs w:val="0"/>
                <w:sz w:val="18"/>
                <w:szCs w:val="18"/>
              </w:rPr>
            </w:pPr>
            <w:r w:rsidRPr="00FF78BB">
              <w:rPr>
                <w:rFonts w:ascii="Arial" w:hAnsi="Arial" w:cs="Arial"/>
                <w:b w:val="0"/>
                <w:bCs w:val="0"/>
                <w:sz w:val="18"/>
                <w:szCs w:val="18"/>
              </w:rPr>
              <w:t>Salads</w:t>
            </w:r>
          </w:p>
        </w:tc>
        <w:tc>
          <w:tcPr>
            <w:tcW w:w="990" w:type="dxa"/>
            <w:gridSpan w:val="2"/>
          </w:tcPr>
          <w:p w14:paraId="6C7A5C55" w14:textId="2D479E41" w:rsidR="00EC1479" w:rsidRPr="00FF78B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C75084">
              <w:rPr>
                <w:rFonts w:ascii="Arial" w:hAnsi="Arial" w:cs="Arial"/>
                <w:color w:val="auto"/>
                <w:sz w:val="18"/>
                <w:szCs w:val="18"/>
              </w:rPr>
              <w:t>479</w:t>
            </w:r>
            <w:r w:rsidRPr="007C0065">
              <w:rPr>
                <w:rFonts w:ascii="Arial" w:hAnsi="Arial" w:cs="Arial"/>
                <w:color w:val="auto"/>
                <w:sz w:val="18"/>
                <w:szCs w:val="18"/>
              </w:rPr>
              <w:t>M</w:t>
            </w:r>
          </w:p>
        </w:tc>
        <w:tc>
          <w:tcPr>
            <w:tcW w:w="1075" w:type="dxa"/>
          </w:tcPr>
          <w:p w14:paraId="2D352A0F" w14:textId="5F879CD9" w:rsidR="00EC1479" w:rsidRPr="00DE21B8"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F0B26">
              <w:rPr>
                <w:rFonts w:ascii="Arial" w:hAnsi="Arial" w:cs="Arial"/>
                <w:color w:val="000000"/>
                <w:sz w:val="18"/>
                <w:szCs w:val="18"/>
              </w:rPr>
              <w:t>+</w:t>
            </w:r>
            <w:r w:rsidR="007A7A81">
              <w:rPr>
                <w:rFonts w:ascii="Arial" w:hAnsi="Arial" w:cs="Arial"/>
                <w:color w:val="000000"/>
                <w:sz w:val="18"/>
                <w:szCs w:val="18"/>
              </w:rPr>
              <w:t>3.8</w:t>
            </w:r>
            <w:r w:rsidRPr="00FF0B26">
              <w:rPr>
                <w:rFonts w:ascii="Arial" w:hAnsi="Arial" w:cs="Arial"/>
                <w:color w:val="000000"/>
                <w:sz w:val="18"/>
                <w:szCs w:val="18"/>
              </w:rPr>
              <w:t>%</w:t>
            </w:r>
          </w:p>
        </w:tc>
        <w:tc>
          <w:tcPr>
            <w:tcW w:w="1332" w:type="dxa"/>
            <w:tcBorders>
              <w:right w:val="single" w:sz="4" w:space="0" w:color="auto"/>
            </w:tcBorders>
          </w:tcPr>
          <w:p w14:paraId="6B9B3A9E" w14:textId="3331B35D" w:rsidR="00EC1479" w:rsidRPr="004F6785"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0B26">
              <w:rPr>
                <w:rFonts w:ascii="Arial" w:hAnsi="Arial" w:cs="Arial"/>
                <w:color w:val="000000"/>
                <w:sz w:val="18"/>
                <w:szCs w:val="18"/>
              </w:rPr>
              <w:t>+</w:t>
            </w:r>
            <w:r w:rsidR="007A7A81">
              <w:rPr>
                <w:rFonts w:ascii="Arial" w:hAnsi="Arial" w:cs="Arial"/>
                <w:color w:val="000000"/>
                <w:sz w:val="18"/>
                <w:szCs w:val="18"/>
              </w:rPr>
              <w:t>4.0</w:t>
            </w:r>
            <w:r w:rsidRPr="00FF0B26">
              <w:rPr>
                <w:rFonts w:ascii="Arial" w:hAnsi="Arial" w:cs="Arial"/>
                <w:color w:val="000000"/>
                <w:sz w:val="18"/>
                <w:szCs w:val="18"/>
              </w:rPr>
              <w:t>%</w:t>
            </w:r>
          </w:p>
        </w:tc>
        <w:tc>
          <w:tcPr>
            <w:tcW w:w="1733" w:type="dxa"/>
            <w:tcBorders>
              <w:left w:val="single" w:sz="4" w:space="0" w:color="auto"/>
            </w:tcBorders>
            <w:vAlign w:val="center"/>
          </w:tcPr>
          <w:p w14:paraId="3D24AFF1" w14:textId="77777777" w:rsidR="00EC1479" w:rsidRPr="00FF78BB"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78BB">
              <w:rPr>
                <w:rFonts w:ascii="Arial" w:hAnsi="Arial" w:cs="Arial"/>
                <w:sz w:val="18"/>
                <w:szCs w:val="18"/>
              </w:rPr>
              <w:t>Salads</w:t>
            </w:r>
          </w:p>
        </w:tc>
        <w:tc>
          <w:tcPr>
            <w:tcW w:w="934" w:type="dxa"/>
          </w:tcPr>
          <w:p w14:paraId="437E83CC" w14:textId="719AD094" w:rsidR="00EC1479" w:rsidRPr="00FF78B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6EB5">
              <w:rPr>
                <w:rFonts w:ascii="Arial" w:hAnsi="Arial" w:cs="Arial"/>
                <w:color w:val="auto"/>
                <w:sz w:val="18"/>
                <w:szCs w:val="18"/>
              </w:rPr>
              <w:t>$</w:t>
            </w:r>
            <w:r w:rsidR="007A7A81">
              <w:rPr>
                <w:rFonts w:ascii="Arial" w:hAnsi="Arial" w:cs="Arial"/>
                <w:color w:val="auto"/>
                <w:sz w:val="18"/>
                <w:szCs w:val="18"/>
              </w:rPr>
              <w:t>5.3</w:t>
            </w:r>
            <w:r w:rsidRPr="00E96EB5">
              <w:rPr>
                <w:rFonts w:ascii="Arial" w:hAnsi="Arial" w:cs="Arial"/>
                <w:color w:val="auto"/>
                <w:sz w:val="18"/>
                <w:szCs w:val="18"/>
              </w:rPr>
              <w:t>B</w:t>
            </w:r>
          </w:p>
        </w:tc>
        <w:tc>
          <w:tcPr>
            <w:tcW w:w="1332" w:type="dxa"/>
          </w:tcPr>
          <w:p w14:paraId="6792FB61" w14:textId="5B2DEC91" w:rsidR="00EC1479" w:rsidRPr="00E85BEE"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6.9</w:t>
            </w:r>
            <w:r w:rsidRPr="00616444">
              <w:rPr>
                <w:rFonts w:ascii="Arial" w:hAnsi="Arial" w:cs="Arial"/>
                <w:color w:val="000000"/>
                <w:sz w:val="18"/>
                <w:szCs w:val="18"/>
              </w:rPr>
              <w:t>%</w:t>
            </w:r>
          </w:p>
        </w:tc>
        <w:tc>
          <w:tcPr>
            <w:tcW w:w="1337" w:type="dxa"/>
          </w:tcPr>
          <w:p w14:paraId="0CC2A304" w14:textId="37CF61DD" w:rsidR="00EC1479" w:rsidRPr="00E85BEE"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7.4</w:t>
            </w:r>
            <w:r w:rsidRPr="00616444">
              <w:rPr>
                <w:rFonts w:ascii="Arial" w:hAnsi="Arial" w:cs="Arial"/>
                <w:color w:val="000000"/>
                <w:sz w:val="18"/>
                <w:szCs w:val="18"/>
              </w:rPr>
              <w:t>%</w:t>
            </w:r>
          </w:p>
        </w:tc>
      </w:tr>
      <w:tr w:rsidR="00EC1479" w:rsidRPr="004C4D23" w14:paraId="48DE7814"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3B877DDE" w14:textId="77777777" w:rsidR="00EC1479" w:rsidRPr="00FF78BB" w:rsidRDefault="00EC1479" w:rsidP="00EC1479">
            <w:pPr>
              <w:pStyle w:val="NoSpacing"/>
              <w:rPr>
                <w:rFonts w:ascii="Arial" w:hAnsi="Arial" w:cs="Arial"/>
                <w:b w:val="0"/>
                <w:bCs w:val="0"/>
                <w:sz w:val="18"/>
                <w:szCs w:val="18"/>
              </w:rPr>
            </w:pPr>
            <w:r w:rsidRPr="00FF78BB">
              <w:rPr>
                <w:rFonts w:ascii="Arial" w:hAnsi="Arial" w:cs="Arial"/>
                <w:b w:val="0"/>
                <w:bCs w:val="0"/>
                <w:sz w:val="18"/>
                <w:szCs w:val="18"/>
              </w:rPr>
              <w:t>Sandwiches</w:t>
            </w:r>
          </w:p>
        </w:tc>
        <w:tc>
          <w:tcPr>
            <w:tcW w:w="990" w:type="dxa"/>
            <w:gridSpan w:val="2"/>
          </w:tcPr>
          <w:p w14:paraId="57F483D1" w14:textId="55796A0C" w:rsidR="00EC1479" w:rsidRPr="00FF78BB"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C75084">
              <w:rPr>
                <w:rFonts w:ascii="Arial" w:hAnsi="Arial" w:cs="Arial"/>
                <w:color w:val="auto"/>
                <w:sz w:val="18"/>
                <w:szCs w:val="18"/>
              </w:rPr>
              <w:t>318</w:t>
            </w:r>
            <w:r w:rsidRPr="007C0065">
              <w:rPr>
                <w:rFonts w:ascii="Arial" w:hAnsi="Arial" w:cs="Arial"/>
                <w:color w:val="auto"/>
                <w:sz w:val="18"/>
                <w:szCs w:val="18"/>
              </w:rPr>
              <w:t>M</w:t>
            </w:r>
          </w:p>
        </w:tc>
        <w:tc>
          <w:tcPr>
            <w:tcW w:w="1075" w:type="dxa"/>
          </w:tcPr>
          <w:p w14:paraId="5A71BE6B" w14:textId="750584C1" w:rsidR="00EC1479" w:rsidRPr="004F6785" w:rsidRDefault="007A7A81"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-0.9</w:t>
            </w:r>
            <w:r w:rsidR="00EC1479" w:rsidRPr="00FF0B26">
              <w:rPr>
                <w:rFonts w:ascii="Arial" w:hAnsi="Arial" w:cs="Arial"/>
                <w:color w:val="000000"/>
                <w:sz w:val="18"/>
                <w:szCs w:val="18"/>
              </w:rPr>
              <w:t>%</w:t>
            </w:r>
          </w:p>
        </w:tc>
        <w:tc>
          <w:tcPr>
            <w:tcW w:w="1332" w:type="dxa"/>
            <w:tcBorders>
              <w:right w:val="single" w:sz="4" w:space="0" w:color="auto"/>
            </w:tcBorders>
          </w:tcPr>
          <w:p w14:paraId="58A2F260" w14:textId="5CD17C5C" w:rsidR="00EC1479" w:rsidRPr="004F6785" w:rsidRDefault="007A7A81"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-3.4</w:t>
            </w:r>
            <w:r w:rsidR="00EC1479" w:rsidRPr="00FF0B26">
              <w:rPr>
                <w:rFonts w:ascii="Arial" w:hAnsi="Arial" w:cs="Arial"/>
                <w:color w:val="000000"/>
                <w:sz w:val="18"/>
                <w:szCs w:val="18"/>
              </w:rPr>
              <w:t>%</w:t>
            </w:r>
          </w:p>
        </w:tc>
        <w:tc>
          <w:tcPr>
            <w:tcW w:w="1733" w:type="dxa"/>
            <w:tcBorders>
              <w:left w:val="single" w:sz="4" w:space="0" w:color="auto"/>
            </w:tcBorders>
            <w:vAlign w:val="center"/>
          </w:tcPr>
          <w:p w14:paraId="7E392F1A" w14:textId="77777777" w:rsidR="00EC1479" w:rsidRPr="00FF78BB"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78BB">
              <w:rPr>
                <w:rFonts w:ascii="Arial" w:hAnsi="Arial" w:cs="Arial"/>
                <w:sz w:val="18"/>
                <w:szCs w:val="18"/>
              </w:rPr>
              <w:t>Sandwiches</w:t>
            </w:r>
          </w:p>
        </w:tc>
        <w:tc>
          <w:tcPr>
            <w:tcW w:w="934" w:type="dxa"/>
          </w:tcPr>
          <w:p w14:paraId="72D0FDAA" w14:textId="0EBD3DEC" w:rsidR="00EC1479" w:rsidRPr="00FF78BB"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6EB5">
              <w:rPr>
                <w:rFonts w:ascii="Arial" w:hAnsi="Arial" w:cs="Arial"/>
                <w:color w:val="auto"/>
                <w:sz w:val="18"/>
                <w:szCs w:val="18"/>
              </w:rPr>
              <w:t>$</w:t>
            </w:r>
            <w:r w:rsidR="007A7A81">
              <w:rPr>
                <w:rFonts w:ascii="Arial" w:hAnsi="Arial" w:cs="Arial"/>
                <w:color w:val="auto"/>
                <w:sz w:val="18"/>
                <w:szCs w:val="18"/>
              </w:rPr>
              <w:t>3.8</w:t>
            </w:r>
            <w:r w:rsidRPr="00E96EB5">
              <w:rPr>
                <w:rFonts w:ascii="Arial" w:hAnsi="Arial" w:cs="Arial"/>
                <w:color w:val="auto"/>
                <w:sz w:val="18"/>
                <w:szCs w:val="18"/>
              </w:rPr>
              <w:t>B</w:t>
            </w:r>
          </w:p>
        </w:tc>
        <w:tc>
          <w:tcPr>
            <w:tcW w:w="1332" w:type="dxa"/>
          </w:tcPr>
          <w:p w14:paraId="56A06176" w14:textId="20909DB9" w:rsidR="00EC1479" w:rsidRPr="00E85BEE"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2.0</w:t>
            </w:r>
            <w:r w:rsidRPr="00616444">
              <w:rPr>
                <w:rFonts w:ascii="Arial" w:hAnsi="Arial" w:cs="Arial"/>
                <w:color w:val="000000"/>
                <w:sz w:val="18"/>
                <w:szCs w:val="18"/>
              </w:rPr>
              <w:t>%</w:t>
            </w:r>
          </w:p>
        </w:tc>
        <w:tc>
          <w:tcPr>
            <w:tcW w:w="1337" w:type="dxa"/>
          </w:tcPr>
          <w:p w14:paraId="61C7CBB3" w14:textId="04E3E73D" w:rsidR="00EC1479" w:rsidRPr="00E85BEE" w:rsidRDefault="007A7A81"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color w:val="000000"/>
                <w:sz w:val="18"/>
                <w:szCs w:val="18"/>
              </w:rPr>
              <w:t>-2.2</w:t>
            </w:r>
            <w:r w:rsidR="00EC1479" w:rsidRPr="00616444">
              <w:rPr>
                <w:rFonts w:ascii="Arial" w:hAnsi="Arial" w:cs="Arial"/>
                <w:color w:val="000000"/>
                <w:sz w:val="18"/>
                <w:szCs w:val="18"/>
              </w:rPr>
              <w:t>%</w:t>
            </w:r>
          </w:p>
        </w:tc>
      </w:tr>
      <w:tr w:rsidR="00EC1479" w:rsidRPr="004C4D23" w14:paraId="08908417"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19B1803E" w14:textId="7BC51DDF" w:rsidR="00EC1479" w:rsidRPr="007307AA" w:rsidRDefault="00EC1479" w:rsidP="00EC1479">
            <w:pPr>
              <w:pStyle w:val="NoSpacing"/>
              <w:rPr>
                <w:rFonts w:ascii="Arial" w:hAnsi="Arial" w:cs="Arial"/>
                <w:b w:val="0"/>
                <w:sz w:val="18"/>
                <w:szCs w:val="18"/>
              </w:rPr>
            </w:pPr>
            <w:r w:rsidRPr="007307AA">
              <w:rPr>
                <w:rFonts w:ascii="Arial" w:hAnsi="Arial" w:cs="Arial"/>
                <w:b w:val="0"/>
                <w:sz w:val="18"/>
                <w:szCs w:val="18"/>
              </w:rPr>
              <w:t>Appetizers</w:t>
            </w:r>
            <w:r>
              <w:rPr>
                <w:rFonts w:ascii="Arial" w:hAnsi="Arial" w:cs="Arial"/>
                <w:b w:val="0"/>
                <w:sz w:val="18"/>
                <w:szCs w:val="18"/>
              </w:rPr>
              <w:t xml:space="preserve"> </w:t>
            </w:r>
          </w:p>
        </w:tc>
        <w:tc>
          <w:tcPr>
            <w:tcW w:w="990" w:type="dxa"/>
            <w:gridSpan w:val="2"/>
          </w:tcPr>
          <w:p w14:paraId="4991905B" w14:textId="577BE46D" w:rsidR="00EC1479" w:rsidRPr="00FF78B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C75084">
              <w:rPr>
                <w:rFonts w:ascii="Arial" w:hAnsi="Arial" w:cs="Arial"/>
                <w:color w:val="auto"/>
                <w:sz w:val="18"/>
                <w:szCs w:val="18"/>
              </w:rPr>
              <w:t>168</w:t>
            </w:r>
            <w:r w:rsidRPr="007C0065">
              <w:rPr>
                <w:rFonts w:ascii="Arial" w:hAnsi="Arial" w:cs="Arial"/>
                <w:color w:val="auto"/>
                <w:sz w:val="18"/>
                <w:szCs w:val="18"/>
              </w:rPr>
              <w:t>M</w:t>
            </w:r>
          </w:p>
        </w:tc>
        <w:tc>
          <w:tcPr>
            <w:tcW w:w="1075" w:type="dxa"/>
          </w:tcPr>
          <w:p w14:paraId="705BD7FC" w14:textId="5939A585" w:rsidR="00EC1479" w:rsidRPr="004F6785"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0B26">
              <w:rPr>
                <w:rFonts w:ascii="Arial" w:hAnsi="Arial" w:cs="Arial"/>
                <w:color w:val="000000"/>
                <w:sz w:val="18"/>
                <w:szCs w:val="18"/>
              </w:rPr>
              <w:t>+</w:t>
            </w:r>
            <w:r w:rsidR="007A7A81">
              <w:rPr>
                <w:rFonts w:ascii="Arial" w:hAnsi="Arial" w:cs="Arial"/>
                <w:color w:val="000000"/>
                <w:sz w:val="18"/>
                <w:szCs w:val="18"/>
              </w:rPr>
              <w:t>7.7</w:t>
            </w:r>
            <w:r w:rsidRPr="00FF0B26">
              <w:rPr>
                <w:rFonts w:ascii="Arial" w:hAnsi="Arial" w:cs="Arial"/>
                <w:color w:val="000000"/>
                <w:sz w:val="18"/>
                <w:szCs w:val="18"/>
              </w:rPr>
              <w:t>%</w:t>
            </w:r>
          </w:p>
        </w:tc>
        <w:tc>
          <w:tcPr>
            <w:tcW w:w="1332" w:type="dxa"/>
            <w:tcBorders>
              <w:right w:val="single" w:sz="4" w:space="0" w:color="auto"/>
            </w:tcBorders>
          </w:tcPr>
          <w:p w14:paraId="0E79D217" w14:textId="583B1400" w:rsidR="00EC1479" w:rsidRPr="004F6785"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0B26">
              <w:rPr>
                <w:rFonts w:ascii="Arial" w:hAnsi="Arial" w:cs="Arial"/>
                <w:color w:val="000000"/>
                <w:sz w:val="18"/>
                <w:szCs w:val="18"/>
              </w:rPr>
              <w:t>+</w:t>
            </w:r>
            <w:r w:rsidR="007A7A81">
              <w:rPr>
                <w:rFonts w:ascii="Arial" w:hAnsi="Arial" w:cs="Arial"/>
                <w:color w:val="000000"/>
                <w:sz w:val="18"/>
                <w:szCs w:val="18"/>
              </w:rPr>
              <w:t>5.8</w:t>
            </w:r>
            <w:r w:rsidRPr="00FF0B26">
              <w:rPr>
                <w:rFonts w:ascii="Arial" w:hAnsi="Arial" w:cs="Arial"/>
                <w:color w:val="000000"/>
                <w:sz w:val="18"/>
                <w:szCs w:val="18"/>
              </w:rPr>
              <w:t>%</w:t>
            </w:r>
          </w:p>
        </w:tc>
        <w:tc>
          <w:tcPr>
            <w:tcW w:w="1733" w:type="dxa"/>
            <w:tcBorders>
              <w:left w:val="single" w:sz="4" w:space="0" w:color="auto"/>
            </w:tcBorders>
            <w:vAlign w:val="center"/>
          </w:tcPr>
          <w:p w14:paraId="727D736D" w14:textId="77777777" w:rsidR="00EC1479" w:rsidRPr="00FF78BB"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Side dishes</w:t>
            </w:r>
          </w:p>
        </w:tc>
        <w:tc>
          <w:tcPr>
            <w:tcW w:w="934" w:type="dxa"/>
          </w:tcPr>
          <w:p w14:paraId="51C209D8" w14:textId="6AE0342E" w:rsidR="00EC1479" w:rsidRPr="00FF78B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6EB5">
              <w:rPr>
                <w:rFonts w:ascii="Arial" w:hAnsi="Arial" w:cs="Arial"/>
                <w:color w:val="auto"/>
                <w:sz w:val="18"/>
                <w:szCs w:val="18"/>
              </w:rPr>
              <w:t>$</w:t>
            </w:r>
            <w:r w:rsidR="007A7A81">
              <w:rPr>
                <w:rFonts w:ascii="Arial" w:hAnsi="Arial" w:cs="Arial"/>
                <w:color w:val="auto"/>
                <w:sz w:val="18"/>
                <w:szCs w:val="18"/>
              </w:rPr>
              <w:t>2.2</w:t>
            </w:r>
            <w:r w:rsidRPr="00E96EB5">
              <w:rPr>
                <w:rFonts w:ascii="Arial" w:hAnsi="Arial" w:cs="Arial"/>
                <w:color w:val="auto"/>
                <w:sz w:val="18"/>
                <w:szCs w:val="18"/>
              </w:rPr>
              <w:t>B</w:t>
            </w:r>
          </w:p>
        </w:tc>
        <w:tc>
          <w:tcPr>
            <w:tcW w:w="1332" w:type="dxa"/>
          </w:tcPr>
          <w:p w14:paraId="1C007704" w14:textId="41210343" w:rsidR="00EC1479" w:rsidRPr="00E85BEE"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4.5</w:t>
            </w:r>
            <w:r w:rsidRPr="00616444">
              <w:rPr>
                <w:rFonts w:ascii="Arial" w:hAnsi="Arial" w:cs="Arial"/>
                <w:color w:val="000000"/>
                <w:sz w:val="18"/>
                <w:szCs w:val="18"/>
              </w:rPr>
              <w:t>%</w:t>
            </w:r>
          </w:p>
        </w:tc>
        <w:tc>
          <w:tcPr>
            <w:tcW w:w="1337" w:type="dxa"/>
          </w:tcPr>
          <w:p w14:paraId="58E29C3C" w14:textId="261F829D" w:rsidR="00EC1479" w:rsidRPr="00E85BEE"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4.0</w:t>
            </w:r>
            <w:r w:rsidRPr="00616444">
              <w:rPr>
                <w:rFonts w:ascii="Arial" w:hAnsi="Arial" w:cs="Arial"/>
                <w:color w:val="000000"/>
                <w:sz w:val="18"/>
                <w:szCs w:val="18"/>
              </w:rPr>
              <w:t>%</w:t>
            </w:r>
          </w:p>
        </w:tc>
      </w:tr>
      <w:tr w:rsidR="00EC1479" w:rsidRPr="004C4D23" w14:paraId="1D859803"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2B28151D" w14:textId="418BA496" w:rsidR="00EC1479" w:rsidRPr="00FF78BB" w:rsidRDefault="00EC1479" w:rsidP="00EC1479">
            <w:pPr>
              <w:pStyle w:val="NoSpacing"/>
              <w:rPr>
                <w:rFonts w:ascii="Arial" w:hAnsi="Arial" w:cs="Arial"/>
                <w:b w:val="0"/>
                <w:bCs w:val="0"/>
                <w:sz w:val="18"/>
                <w:szCs w:val="18"/>
              </w:rPr>
            </w:pPr>
            <w:r>
              <w:rPr>
                <w:rFonts w:ascii="Arial" w:hAnsi="Arial" w:cs="Arial"/>
                <w:b w:val="0"/>
                <w:bCs w:val="0"/>
                <w:sz w:val="18"/>
                <w:szCs w:val="18"/>
              </w:rPr>
              <w:t>Side dishes</w:t>
            </w:r>
          </w:p>
        </w:tc>
        <w:tc>
          <w:tcPr>
            <w:tcW w:w="990" w:type="dxa"/>
            <w:gridSpan w:val="2"/>
          </w:tcPr>
          <w:p w14:paraId="3BBEBA33" w14:textId="26950BB0" w:rsidR="00EC1479" w:rsidRPr="00FF78BB"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7A7A81">
              <w:rPr>
                <w:rFonts w:ascii="Arial" w:hAnsi="Arial" w:cs="Arial"/>
                <w:color w:val="auto"/>
                <w:sz w:val="18"/>
                <w:szCs w:val="18"/>
              </w:rPr>
              <w:t>157</w:t>
            </w:r>
            <w:r w:rsidRPr="007C0065">
              <w:rPr>
                <w:rFonts w:ascii="Arial" w:hAnsi="Arial" w:cs="Arial"/>
                <w:color w:val="auto"/>
                <w:sz w:val="18"/>
                <w:szCs w:val="18"/>
              </w:rPr>
              <w:t>M</w:t>
            </w:r>
          </w:p>
        </w:tc>
        <w:tc>
          <w:tcPr>
            <w:tcW w:w="1075" w:type="dxa"/>
          </w:tcPr>
          <w:p w14:paraId="1EFA0701" w14:textId="6B583544" w:rsidR="00EC1479" w:rsidRPr="004F6785"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0B26">
              <w:rPr>
                <w:rFonts w:ascii="Arial" w:hAnsi="Arial" w:cs="Arial"/>
                <w:color w:val="000000"/>
                <w:sz w:val="18"/>
                <w:szCs w:val="18"/>
              </w:rPr>
              <w:t>+</w:t>
            </w:r>
            <w:r w:rsidR="007A7A81">
              <w:rPr>
                <w:rFonts w:ascii="Arial" w:hAnsi="Arial" w:cs="Arial"/>
                <w:color w:val="000000"/>
                <w:sz w:val="18"/>
                <w:szCs w:val="18"/>
              </w:rPr>
              <w:t>2.7</w:t>
            </w:r>
            <w:r w:rsidRPr="00FF0B26">
              <w:rPr>
                <w:rFonts w:ascii="Arial" w:hAnsi="Arial" w:cs="Arial"/>
                <w:color w:val="000000"/>
                <w:sz w:val="18"/>
                <w:szCs w:val="18"/>
              </w:rPr>
              <w:t>%</w:t>
            </w:r>
          </w:p>
        </w:tc>
        <w:tc>
          <w:tcPr>
            <w:tcW w:w="1332" w:type="dxa"/>
            <w:tcBorders>
              <w:right w:val="single" w:sz="4" w:space="0" w:color="auto"/>
            </w:tcBorders>
          </w:tcPr>
          <w:p w14:paraId="78EB67FC" w14:textId="558E0038" w:rsidR="00EC1479" w:rsidRPr="004F6785"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0B26">
              <w:rPr>
                <w:rFonts w:ascii="Arial" w:hAnsi="Arial" w:cs="Arial"/>
                <w:color w:val="000000"/>
                <w:sz w:val="18"/>
                <w:szCs w:val="18"/>
              </w:rPr>
              <w:t>+</w:t>
            </w:r>
            <w:r w:rsidR="007A7A81">
              <w:rPr>
                <w:rFonts w:ascii="Arial" w:hAnsi="Arial" w:cs="Arial"/>
                <w:color w:val="000000"/>
                <w:sz w:val="18"/>
                <w:szCs w:val="18"/>
              </w:rPr>
              <w:t>3.0</w:t>
            </w:r>
            <w:r w:rsidRPr="00FF0B26">
              <w:rPr>
                <w:rFonts w:ascii="Arial" w:hAnsi="Arial" w:cs="Arial"/>
                <w:color w:val="000000"/>
                <w:sz w:val="18"/>
                <w:szCs w:val="18"/>
              </w:rPr>
              <w:t>%</w:t>
            </w:r>
          </w:p>
        </w:tc>
        <w:tc>
          <w:tcPr>
            <w:tcW w:w="1733" w:type="dxa"/>
            <w:tcBorders>
              <w:left w:val="single" w:sz="4" w:space="0" w:color="auto"/>
            </w:tcBorders>
            <w:vAlign w:val="center"/>
          </w:tcPr>
          <w:p w14:paraId="7A011858" w14:textId="77777777" w:rsidR="00EC1479" w:rsidRPr="00FF78BB"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Appetizers</w:t>
            </w:r>
          </w:p>
        </w:tc>
        <w:tc>
          <w:tcPr>
            <w:tcW w:w="934" w:type="dxa"/>
          </w:tcPr>
          <w:p w14:paraId="170FD418" w14:textId="16A7DBDA" w:rsidR="00EC1479" w:rsidRPr="00FF78BB"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6EB5">
              <w:rPr>
                <w:rFonts w:ascii="Arial" w:hAnsi="Arial" w:cs="Arial"/>
                <w:color w:val="auto"/>
                <w:sz w:val="18"/>
                <w:szCs w:val="18"/>
              </w:rPr>
              <w:t>$</w:t>
            </w:r>
            <w:r w:rsidR="007A7A81">
              <w:rPr>
                <w:rFonts w:ascii="Arial" w:hAnsi="Arial" w:cs="Arial"/>
                <w:color w:val="auto"/>
                <w:sz w:val="18"/>
                <w:szCs w:val="18"/>
              </w:rPr>
              <w:t>2.2</w:t>
            </w:r>
            <w:r w:rsidRPr="00E96EB5">
              <w:rPr>
                <w:rFonts w:ascii="Arial" w:hAnsi="Arial" w:cs="Arial"/>
                <w:color w:val="auto"/>
                <w:sz w:val="18"/>
                <w:szCs w:val="18"/>
              </w:rPr>
              <w:t>B</w:t>
            </w:r>
          </w:p>
        </w:tc>
        <w:tc>
          <w:tcPr>
            <w:tcW w:w="1332" w:type="dxa"/>
          </w:tcPr>
          <w:p w14:paraId="55485464" w14:textId="484537AD" w:rsidR="00EC1479" w:rsidRPr="00E85BEE"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6.3</w:t>
            </w:r>
            <w:r w:rsidRPr="00616444">
              <w:rPr>
                <w:rFonts w:ascii="Arial" w:hAnsi="Arial" w:cs="Arial"/>
                <w:color w:val="000000"/>
                <w:sz w:val="18"/>
                <w:szCs w:val="18"/>
              </w:rPr>
              <w:t>%</w:t>
            </w:r>
          </w:p>
        </w:tc>
        <w:tc>
          <w:tcPr>
            <w:tcW w:w="1337" w:type="dxa"/>
          </w:tcPr>
          <w:p w14:paraId="52DA5898" w14:textId="5DF9D970" w:rsidR="00EC1479" w:rsidRPr="00E85BEE"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4.6</w:t>
            </w:r>
            <w:r w:rsidRPr="00616444">
              <w:rPr>
                <w:rFonts w:ascii="Arial" w:hAnsi="Arial" w:cs="Arial"/>
                <w:color w:val="000000"/>
                <w:sz w:val="18"/>
                <w:szCs w:val="18"/>
              </w:rPr>
              <w:t>%</w:t>
            </w:r>
          </w:p>
        </w:tc>
      </w:tr>
      <w:tr w:rsidR="00EC1479" w:rsidRPr="004C4D23" w14:paraId="2B03C3EC"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0B3AE72F" w14:textId="77777777" w:rsidR="00EC1479" w:rsidRPr="00FF78BB" w:rsidRDefault="00EC1479" w:rsidP="00EC1479">
            <w:pPr>
              <w:pStyle w:val="NoSpacing"/>
              <w:rPr>
                <w:rFonts w:ascii="Arial" w:hAnsi="Arial" w:cs="Arial"/>
                <w:b w:val="0"/>
                <w:bCs w:val="0"/>
                <w:sz w:val="18"/>
                <w:szCs w:val="18"/>
              </w:rPr>
            </w:pPr>
            <w:r>
              <w:rPr>
                <w:rFonts w:ascii="Arial" w:hAnsi="Arial" w:cs="Arial"/>
                <w:b w:val="0"/>
                <w:bCs w:val="0"/>
                <w:sz w:val="18"/>
                <w:szCs w:val="18"/>
              </w:rPr>
              <w:t>Pizza</w:t>
            </w:r>
          </w:p>
        </w:tc>
        <w:tc>
          <w:tcPr>
            <w:tcW w:w="990" w:type="dxa"/>
            <w:gridSpan w:val="2"/>
          </w:tcPr>
          <w:p w14:paraId="6DC39CBC" w14:textId="4E6D7C5E" w:rsidR="00EC1479" w:rsidRPr="00FF78B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7A7A81">
              <w:rPr>
                <w:rFonts w:ascii="Arial" w:hAnsi="Arial" w:cs="Arial"/>
                <w:color w:val="auto"/>
                <w:sz w:val="18"/>
                <w:szCs w:val="18"/>
              </w:rPr>
              <w:t>87</w:t>
            </w:r>
            <w:r w:rsidRPr="007C0065">
              <w:rPr>
                <w:rFonts w:ascii="Arial" w:hAnsi="Arial" w:cs="Arial"/>
                <w:color w:val="auto"/>
                <w:sz w:val="18"/>
                <w:szCs w:val="18"/>
              </w:rPr>
              <w:t>M</w:t>
            </w:r>
          </w:p>
        </w:tc>
        <w:tc>
          <w:tcPr>
            <w:tcW w:w="1075" w:type="dxa"/>
          </w:tcPr>
          <w:p w14:paraId="0460CE03" w14:textId="79262CD4" w:rsidR="00EC1479" w:rsidRPr="004F6785" w:rsidRDefault="007A7A81"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-1.3</w:t>
            </w:r>
            <w:r w:rsidR="00EC1479" w:rsidRPr="00FF0B26">
              <w:rPr>
                <w:rFonts w:ascii="Arial" w:hAnsi="Arial" w:cs="Arial"/>
                <w:color w:val="000000"/>
                <w:sz w:val="18"/>
                <w:szCs w:val="18"/>
              </w:rPr>
              <w:t>%</w:t>
            </w:r>
          </w:p>
        </w:tc>
        <w:tc>
          <w:tcPr>
            <w:tcW w:w="1332" w:type="dxa"/>
            <w:tcBorders>
              <w:right w:val="single" w:sz="4" w:space="0" w:color="auto"/>
            </w:tcBorders>
          </w:tcPr>
          <w:p w14:paraId="10CC0A5B" w14:textId="45633B67" w:rsidR="00EC1479" w:rsidRPr="004F6785" w:rsidRDefault="007A7A81"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-3.7</w:t>
            </w:r>
            <w:r w:rsidR="00EC1479" w:rsidRPr="00FF0B26">
              <w:rPr>
                <w:rFonts w:ascii="Arial" w:hAnsi="Arial" w:cs="Arial"/>
                <w:color w:val="000000"/>
                <w:sz w:val="18"/>
                <w:szCs w:val="18"/>
              </w:rPr>
              <w:t>%</w:t>
            </w:r>
          </w:p>
        </w:tc>
        <w:tc>
          <w:tcPr>
            <w:tcW w:w="1733" w:type="dxa"/>
            <w:tcBorders>
              <w:left w:val="single" w:sz="4" w:space="0" w:color="auto"/>
            </w:tcBorders>
            <w:vAlign w:val="center"/>
          </w:tcPr>
          <w:p w14:paraId="7EB6008C" w14:textId="73F8E1C2" w:rsidR="00EC1479" w:rsidRPr="00FF78BB"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Soups &amp; chili</w:t>
            </w:r>
          </w:p>
        </w:tc>
        <w:tc>
          <w:tcPr>
            <w:tcW w:w="934" w:type="dxa"/>
          </w:tcPr>
          <w:p w14:paraId="2740039B" w14:textId="48318767" w:rsidR="00EC1479" w:rsidRPr="00FF78B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6EB5">
              <w:rPr>
                <w:rFonts w:ascii="Arial" w:hAnsi="Arial" w:cs="Arial"/>
                <w:color w:val="auto"/>
                <w:sz w:val="18"/>
                <w:szCs w:val="18"/>
              </w:rPr>
              <w:t>$</w:t>
            </w:r>
            <w:r w:rsidR="007A7A81">
              <w:rPr>
                <w:rFonts w:ascii="Arial" w:hAnsi="Arial" w:cs="Arial"/>
                <w:color w:val="auto"/>
                <w:sz w:val="18"/>
                <w:szCs w:val="18"/>
              </w:rPr>
              <w:t>1.4</w:t>
            </w:r>
            <w:r w:rsidRPr="00E96EB5">
              <w:rPr>
                <w:rFonts w:ascii="Arial" w:hAnsi="Arial" w:cs="Arial"/>
                <w:color w:val="auto"/>
                <w:sz w:val="18"/>
                <w:szCs w:val="18"/>
              </w:rPr>
              <w:t>B</w:t>
            </w:r>
          </w:p>
        </w:tc>
        <w:tc>
          <w:tcPr>
            <w:tcW w:w="1332" w:type="dxa"/>
          </w:tcPr>
          <w:p w14:paraId="5DD717D1" w14:textId="0F46AF75" w:rsidR="00EC1479" w:rsidRPr="00E85BEE"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7.1</w:t>
            </w:r>
            <w:r w:rsidRPr="00616444">
              <w:rPr>
                <w:rFonts w:ascii="Arial" w:hAnsi="Arial" w:cs="Arial"/>
                <w:color w:val="000000"/>
                <w:sz w:val="18"/>
                <w:szCs w:val="18"/>
              </w:rPr>
              <w:t>%</w:t>
            </w:r>
          </w:p>
        </w:tc>
        <w:tc>
          <w:tcPr>
            <w:tcW w:w="1337" w:type="dxa"/>
          </w:tcPr>
          <w:p w14:paraId="1FB983D8" w14:textId="3AB1B15B" w:rsidR="00EC1479" w:rsidRPr="00E85BEE"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5.3</w:t>
            </w:r>
            <w:r w:rsidRPr="00616444">
              <w:rPr>
                <w:rFonts w:ascii="Arial" w:hAnsi="Arial" w:cs="Arial"/>
                <w:color w:val="000000"/>
                <w:sz w:val="18"/>
                <w:szCs w:val="18"/>
              </w:rPr>
              <w:t>%</w:t>
            </w:r>
          </w:p>
        </w:tc>
      </w:tr>
      <w:tr w:rsidR="00EC1479" w:rsidRPr="004C4D23" w14:paraId="31BBA1B7"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292567EF" w14:textId="7976346C" w:rsidR="00EC1479" w:rsidRPr="009C7CE8" w:rsidRDefault="00EC1479" w:rsidP="00EC1479">
            <w:pPr>
              <w:pStyle w:val="NoSpacing"/>
              <w:rPr>
                <w:rFonts w:ascii="Arial" w:hAnsi="Arial" w:cs="Arial"/>
                <w:b w:val="0"/>
                <w:sz w:val="18"/>
                <w:szCs w:val="18"/>
              </w:rPr>
            </w:pPr>
            <w:r w:rsidRPr="00FF78BB">
              <w:rPr>
                <w:rFonts w:ascii="Arial" w:hAnsi="Arial" w:cs="Arial"/>
                <w:b w:val="0"/>
                <w:bCs w:val="0"/>
                <w:sz w:val="18"/>
                <w:szCs w:val="18"/>
              </w:rPr>
              <w:t>Soups &amp; chili</w:t>
            </w:r>
          </w:p>
        </w:tc>
        <w:tc>
          <w:tcPr>
            <w:tcW w:w="990" w:type="dxa"/>
            <w:gridSpan w:val="2"/>
          </w:tcPr>
          <w:p w14:paraId="1B11022F" w14:textId="62C0CA82" w:rsidR="00EC1479" w:rsidRPr="00FF78BB"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7A7A81">
              <w:rPr>
                <w:rFonts w:ascii="Arial" w:hAnsi="Arial" w:cs="Arial"/>
                <w:color w:val="auto"/>
                <w:sz w:val="18"/>
                <w:szCs w:val="18"/>
              </w:rPr>
              <w:t>62</w:t>
            </w:r>
            <w:r w:rsidRPr="007C0065">
              <w:rPr>
                <w:rFonts w:ascii="Arial" w:hAnsi="Arial" w:cs="Arial"/>
                <w:color w:val="auto"/>
                <w:sz w:val="18"/>
                <w:szCs w:val="18"/>
              </w:rPr>
              <w:t>M</w:t>
            </w:r>
          </w:p>
        </w:tc>
        <w:tc>
          <w:tcPr>
            <w:tcW w:w="1075" w:type="dxa"/>
          </w:tcPr>
          <w:p w14:paraId="768D8E0D" w14:textId="5D2F3D44" w:rsidR="00EC1479" w:rsidRPr="004F6785"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0B26">
              <w:rPr>
                <w:rFonts w:ascii="Arial" w:hAnsi="Arial" w:cs="Arial"/>
                <w:color w:val="000000"/>
                <w:sz w:val="18"/>
                <w:szCs w:val="18"/>
              </w:rPr>
              <w:t>+</w:t>
            </w:r>
            <w:r w:rsidR="007A7A81">
              <w:rPr>
                <w:rFonts w:ascii="Arial" w:hAnsi="Arial" w:cs="Arial"/>
                <w:color w:val="000000"/>
                <w:sz w:val="18"/>
                <w:szCs w:val="18"/>
              </w:rPr>
              <w:t>8.4</w:t>
            </w:r>
            <w:r w:rsidRPr="00FF0B26">
              <w:rPr>
                <w:rFonts w:ascii="Arial" w:hAnsi="Arial" w:cs="Arial"/>
                <w:color w:val="000000"/>
                <w:sz w:val="18"/>
                <w:szCs w:val="18"/>
              </w:rPr>
              <w:t>%</w:t>
            </w:r>
          </w:p>
        </w:tc>
        <w:tc>
          <w:tcPr>
            <w:tcW w:w="1332" w:type="dxa"/>
            <w:tcBorders>
              <w:right w:val="single" w:sz="4" w:space="0" w:color="auto"/>
            </w:tcBorders>
          </w:tcPr>
          <w:p w14:paraId="2F8F85C8" w14:textId="3E908684" w:rsidR="00EC1479" w:rsidRPr="004F6785"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0B26">
              <w:rPr>
                <w:rFonts w:ascii="Arial" w:hAnsi="Arial" w:cs="Arial"/>
                <w:color w:val="000000"/>
                <w:sz w:val="18"/>
                <w:szCs w:val="18"/>
              </w:rPr>
              <w:t>+</w:t>
            </w:r>
            <w:r w:rsidR="007A7A81">
              <w:rPr>
                <w:rFonts w:ascii="Arial" w:hAnsi="Arial" w:cs="Arial"/>
                <w:color w:val="000000"/>
                <w:sz w:val="18"/>
                <w:szCs w:val="18"/>
              </w:rPr>
              <w:t>5.6</w:t>
            </w:r>
            <w:r w:rsidRPr="00FF0B26">
              <w:rPr>
                <w:rFonts w:ascii="Arial" w:hAnsi="Arial" w:cs="Arial"/>
                <w:color w:val="000000"/>
                <w:sz w:val="18"/>
                <w:szCs w:val="18"/>
              </w:rPr>
              <w:t>%</w:t>
            </w:r>
          </w:p>
        </w:tc>
        <w:tc>
          <w:tcPr>
            <w:tcW w:w="1733" w:type="dxa"/>
            <w:tcBorders>
              <w:left w:val="single" w:sz="4" w:space="0" w:color="auto"/>
            </w:tcBorders>
            <w:vAlign w:val="center"/>
          </w:tcPr>
          <w:p w14:paraId="300C0347" w14:textId="31AF75E0" w:rsidR="00EC1479" w:rsidRPr="00FF78BB"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Pizza</w:t>
            </w:r>
          </w:p>
        </w:tc>
        <w:tc>
          <w:tcPr>
            <w:tcW w:w="934" w:type="dxa"/>
          </w:tcPr>
          <w:p w14:paraId="57E6886B" w14:textId="6AD74287" w:rsidR="00EC1479" w:rsidRPr="00FF78BB"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6EB5">
              <w:rPr>
                <w:rFonts w:ascii="Arial" w:hAnsi="Arial" w:cs="Arial"/>
                <w:color w:val="auto"/>
                <w:sz w:val="18"/>
                <w:szCs w:val="18"/>
              </w:rPr>
              <w:t>$</w:t>
            </w:r>
            <w:r w:rsidR="007A7A81">
              <w:rPr>
                <w:rFonts w:ascii="Arial" w:hAnsi="Arial" w:cs="Arial"/>
                <w:color w:val="auto"/>
                <w:sz w:val="18"/>
                <w:szCs w:val="18"/>
              </w:rPr>
              <w:t>1.2</w:t>
            </w:r>
            <w:r w:rsidRPr="00E96EB5">
              <w:rPr>
                <w:rFonts w:ascii="Arial" w:hAnsi="Arial" w:cs="Arial"/>
                <w:color w:val="auto"/>
                <w:sz w:val="18"/>
                <w:szCs w:val="18"/>
              </w:rPr>
              <w:t>B</w:t>
            </w:r>
          </w:p>
        </w:tc>
        <w:tc>
          <w:tcPr>
            <w:tcW w:w="1332" w:type="dxa"/>
          </w:tcPr>
          <w:p w14:paraId="420C519B" w14:textId="02FCDEDF" w:rsidR="00EC1479" w:rsidRPr="00E85BEE"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5.2</w:t>
            </w:r>
            <w:r w:rsidRPr="00616444">
              <w:rPr>
                <w:rFonts w:ascii="Arial" w:hAnsi="Arial" w:cs="Arial"/>
                <w:color w:val="000000"/>
                <w:sz w:val="18"/>
                <w:szCs w:val="18"/>
              </w:rPr>
              <w:t>%</w:t>
            </w:r>
          </w:p>
        </w:tc>
        <w:tc>
          <w:tcPr>
            <w:tcW w:w="1337" w:type="dxa"/>
          </w:tcPr>
          <w:p w14:paraId="6DA36DE3" w14:textId="739AC5BF" w:rsidR="00EC1479" w:rsidRPr="00E85BEE"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2.5</w:t>
            </w:r>
            <w:r w:rsidRPr="00616444">
              <w:rPr>
                <w:rFonts w:ascii="Arial" w:hAnsi="Arial" w:cs="Arial"/>
                <w:color w:val="000000"/>
                <w:sz w:val="18"/>
                <w:szCs w:val="18"/>
              </w:rPr>
              <w:t>%</w:t>
            </w:r>
          </w:p>
        </w:tc>
      </w:tr>
      <w:tr w:rsidR="00EC1479" w:rsidRPr="004C4D23" w14:paraId="60434716" w14:textId="77777777" w:rsidTr="005B001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2D455FAB" w14:textId="77777777" w:rsidR="00EC1479" w:rsidRPr="00FF78BB" w:rsidRDefault="00EC1479" w:rsidP="00EC1479">
            <w:pPr>
              <w:pStyle w:val="NoSpacing"/>
              <w:rPr>
                <w:rFonts w:ascii="Arial" w:hAnsi="Arial" w:cs="Arial"/>
                <w:sz w:val="18"/>
                <w:szCs w:val="18"/>
              </w:rPr>
            </w:pPr>
            <w:r w:rsidRPr="00FF78BB">
              <w:rPr>
                <w:rFonts w:ascii="Arial" w:hAnsi="Arial" w:cs="Arial"/>
                <w:b w:val="0"/>
                <w:bCs w:val="0"/>
                <w:sz w:val="18"/>
                <w:szCs w:val="18"/>
              </w:rPr>
              <w:t>Breakfast</w:t>
            </w:r>
          </w:p>
        </w:tc>
        <w:tc>
          <w:tcPr>
            <w:tcW w:w="990" w:type="dxa"/>
            <w:gridSpan w:val="2"/>
          </w:tcPr>
          <w:p w14:paraId="5973FE62" w14:textId="733C5A41" w:rsidR="00EC1479" w:rsidRPr="00FF78B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7A7A81">
              <w:rPr>
                <w:rFonts w:ascii="Arial" w:hAnsi="Arial" w:cs="Arial"/>
                <w:color w:val="auto"/>
                <w:sz w:val="18"/>
                <w:szCs w:val="18"/>
              </w:rPr>
              <w:t>41</w:t>
            </w:r>
            <w:r w:rsidRPr="007C0065">
              <w:rPr>
                <w:rFonts w:ascii="Arial" w:hAnsi="Arial" w:cs="Arial"/>
                <w:color w:val="auto"/>
                <w:sz w:val="18"/>
                <w:szCs w:val="18"/>
              </w:rPr>
              <w:t>M</w:t>
            </w:r>
          </w:p>
        </w:tc>
        <w:tc>
          <w:tcPr>
            <w:tcW w:w="1075" w:type="dxa"/>
          </w:tcPr>
          <w:p w14:paraId="51F2D895" w14:textId="17B96A68" w:rsidR="00EC1479" w:rsidRPr="004F6785" w:rsidRDefault="007A7A81"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-8.5</w:t>
            </w:r>
            <w:r w:rsidR="00EC1479" w:rsidRPr="00FF0B26">
              <w:rPr>
                <w:rFonts w:ascii="Arial" w:hAnsi="Arial" w:cs="Arial"/>
                <w:color w:val="000000"/>
                <w:sz w:val="18"/>
                <w:szCs w:val="18"/>
              </w:rPr>
              <w:t>%</w:t>
            </w:r>
          </w:p>
        </w:tc>
        <w:tc>
          <w:tcPr>
            <w:tcW w:w="1332" w:type="dxa"/>
            <w:tcBorders>
              <w:right w:val="single" w:sz="4" w:space="0" w:color="auto"/>
            </w:tcBorders>
          </w:tcPr>
          <w:p w14:paraId="6C6BA3F1" w14:textId="60EC04E2" w:rsidR="00EC1479" w:rsidRPr="004F6785" w:rsidRDefault="007A7A81"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rPr>
              <w:t>-8.9</w:t>
            </w:r>
            <w:r w:rsidR="00EC1479" w:rsidRPr="00FF0B26">
              <w:rPr>
                <w:rFonts w:ascii="Arial" w:hAnsi="Arial" w:cs="Arial"/>
                <w:color w:val="000000"/>
                <w:sz w:val="18"/>
                <w:szCs w:val="18"/>
              </w:rPr>
              <w:t>%</w:t>
            </w:r>
          </w:p>
        </w:tc>
        <w:tc>
          <w:tcPr>
            <w:tcW w:w="1733" w:type="dxa"/>
            <w:tcBorders>
              <w:left w:val="single" w:sz="4" w:space="0" w:color="auto"/>
            </w:tcBorders>
            <w:vAlign w:val="center"/>
          </w:tcPr>
          <w:p w14:paraId="787D5041" w14:textId="77777777" w:rsidR="00EC1479" w:rsidRPr="00FF78BB" w:rsidRDefault="00EC1479" w:rsidP="00EC14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78BB">
              <w:rPr>
                <w:rFonts w:ascii="Arial" w:hAnsi="Arial" w:cs="Arial"/>
                <w:sz w:val="18"/>
                <w:szCs w:val="18"/>
              </w:rPr>
              <w:t>Breakfast</w:t>
            </w:r>
          </w:p>
        </w:tc>
        <w:tc>
          <w:tcPr>
            <w:tcW w:w="934" w:type="dxa"/>
          </w:tcPr>
          <w:p w14:paraId="7A7CC99E" w14:textId="0FAB343F" w:rsidR="00EC1479" w:rsidRPr="00FF78BB" w:rsidRDefault="00EC1479"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93D56">
              <w:rPr>
                <w:rFonts w:ascii="Arial" w:hAnsi="Arial" w:cs="Arial"/>
                <w:color w:val="auto"/>
                <w:sz w:val="18"/>
                <w:szCs w:val="18"/>
              </w:rPr>
              <w:t>$</w:t>
            </w:r>
            <w:r w:rsidR="007A7A81">
              <w:rPr>
                <w:rFonts w:ascii="Arial" w:hAnsi="Arial" w:cs="Arial"/>
                <w:color w:val="auto"/>
                <w:sz w:val="18"/>
                <w:szCs w:val="18"/>
              </w:rPr>
              <w:t>567</w:t>
            </w:r>
            <w:r w:rsidRPr="00F93D56">
              <w:rPr>
                <w:rFonts w:ascii="Arial" w:hAnsi="Arial" w:cs="Arial"/>
                <w:color w:val="auto"/>
                <w:sz w:val="18"/>
                <w:szCs w:val="18"/>
              </w:rPr>
              <w:t>M</w:t>
            </w:r>
          </w:p>
        </w:tc>
        <w:tc>
          <w:tcPr>
            <w:tcW w:w="1332" w:type="dxa"/>
          </w:tcPr>
          <w:p w14:paraId="204FA3EB" w14:textId="2F3261ED" w:rsidR="00EC1479" w:rsidRPr="00E85BEE" w:rsidRDefault="007A7A81"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color w:val="000000"/>
                <w:sz w:val="18"/>
                <w:szCs w:val="18"/>
              </w:rPr>
              <w:t>0.0</w:t>
            </w:r>
            <w:r w:rsidR="00EC1479" w:rsidRPr="00616444">
              <w:rPr>
                <w:rFonts w:ascii="Arial" w:hAnsi="Arial" w:cs="Arial"/>
                <w:color w:val="000000"/>
                <w:sz w:val="18"/>
                <w:szCs w:val="18"/>
              </w:rPr>
              <w:t>%</w:t>
            </w:r>
          </w:p>
        </w:tc>
        <w:tc>
          <w:tcPr>
            <w:tcW w:w="1337" w:type="dxa"/>
          </w:tcPr>
          <w:p w14:paraId="2A50290B" w14:textId="5F3C7281" w:rsidR="00EC1479" w:rsidRPr="00E85BEE" w:rsidRDefault="007A7A81" w:rsidP="00EC1479">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color w:val="000000"/>
                <w:sz w:val="18"/>
                <w:szCs w:val="18"/>
              </w:rPr>
              <w:t>-5.0</w:t>
            </w:r>
            <w:r w:rsidR="00EC1479" w:rsidRPr="00616444">
              <w:rPr>
                <w:rFonts w:ascii="Arial" w:hAnsi="Arial" w:cs="Arial"/>
                <w:color w:val="000000"/>
                <w:sz w:val="18"/>
                <w:szCs w:val="18"/>
              </w:rPr>
              <w:t>%</w:t>
            </w:r>
          </w:p>
        </w:tc>
      </w:tr>
      <w:tr w:rsidR="00EC1479" w:rsidRPr="004C4D23" w14:paraId="32BB886E" w14:textId="77777777" w:rsidTr="005B0011">
        <w:trPr>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100B0AC2" w14:textId="77777777" w:rsidR="00EC1479" w:rsidRPr="00FF78BB" w:rsidRDefault="00EC1479" w:rsidP="00EC1479">
            <w:pPr>
              <w:pStyle w:val="NoSpacing"/>
              <w:rPr>
                <w:rFonts w:ascii="Arial" w:hAnsi="Arial" w:cs="Arial"/>
                <w:sz w:val="18"/>
                <w:szCs w:val="18"/>
              </w:rPr>
            </w:pPr>
            <w:r w:rsidRPr="00FF78BB">
              <w:rPr>
                <w:rFonts w:ascii="Arial" w:hAnsi="Arial" w:cs="Arial"/>
                <w:b w:val="0"/>
                <w:bCs w:val="0"/>
                <w:sz w:val="18"/>
                <w:szCs w:val="18"/>
              </w:rPr>
              <w:t>Combo meals</w:t>
            </w:r>
          </w:p>
        </w:tc>
        <w:tc>
          <w:tcPr>
            <w:tcW w:w="990" w:type="dxa"/>
            <w:gridSpan w:val="2"/>
          </w:tcPr>
          <w:p w14:paraId="12A8804F" w14:textId="01825467" w:rsidR="00EC1479" w:rsidRPr="00FF78BB"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7A7A81">
              <w:rPr>
                <w:rFonts w:ascii="Arial" w:hAnsi="Arial" w:cs="Arial"/>
                <w:color w:val="auto"/>
                <w:sz w:val="18"/>
                <w:szCs w:val="18"/>
              </w:rPr>
              <w:t>16</w:t>
            </w:r>
            <w:r w:rsidRPr="007C0065">
              <w:rPr>
                <w:rFonts w:ascii="Arial" w:hAnsi="Arial" w:cs="Arial"/>
                <w:color w:val="auto"/>
                <w:sz w:val="18"/>
                <w:szCs w:val="18"/>
              </w:rPr>
              <w:t>M</w:t>
            </w:r>
          </w:p>
        </w:tc>
        <w:tc>
          <w:tcPr>
            <w:tcW w:w="1075" w:type="dxa"/>
          </w:tcPr>
          <w:p w14:paraId="654F0348" w14:textId="0F85442E" w:rsidR="00EC1479" w:rsidRPr="004F6785" w:rsidRDefault="007A7A81"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-3.0</w:t>
            </w:r>
            <w:r w:rsidR="00EC1479" w:rsidRPr="00FF0B26">
              <w:rPr>
                <w:rFonts w:ascii="Arial" w:hAnsi="Arial" w:cs="Arial"/>
                <w:color w:val="000000"/>
                <w:sz w:val="18"/>
                <w:szCs w:val="18"/>
              </w:rPr>
              <w:t>%</w:t>
            </w:r>
          </w:p>
        </w:tc>
        <w:tc>
          <w:tcPr>
            <w:tcW w:w="1332" w:type="dxa"/>
            <w:tcBorders>
              <w:right w:val="single" w:sz="4" w:space="0" w:color="auto"/>
            </w:tcBorders>
          </w:tcPr>
          <w:p w14:paraId="233DBDEB" w14:textId="239163D3" w:rsidR="00EC1479" w:rsidRPr="004F6785" w:rsidRDefault="007A7A81"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-2.3</w:t>
            </w:r>
            <w:r w:rsidR="00EC1479" w:rsidRPr="00FF0B26">
              <w:rPr>
                <w:rFonts w:ascii="Arial" w:hAnsi="Arial" w:cs="Arial"/>
                <w:color w:val="000000"/>
                <w:sz w:val="18"/>
                <w:szCs w:val="18"/>
              </w:rPr>
              <w:t>%</w:t>
            </w:r>
          </w:p>
        </w:tc>
        <w:tc>
          <w:tcPr>
            <w:tcW w:w="1733" w:type="dxa"/>
            <w:tcBorders>
              <w:left w:val="single" w:sz="4" w:space="0" w:color="auto"/>
            </w:tcBorders>
            <w:vAlign w:val="center"/>
          </w:tcPr>
          <w:p w14:paraId="12ABB545" w14:textId="77777777" w:rsidR="00EC1479" w:rsidRPr="00FF78BB" w:rsidRDefault="00EC1479" w:rsidP="00EC14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78BB">
              <w:rPr>
                <w:rFonts w:ascii="Arial" w:hAnsi="Arial" w:cs="Arial"/>
                <w:sz w:val="18"/>
                <w:szCs w:val="18"/>
              </w:rPr>
              <w:t>Combo meals</w:t>
            </w:r>
          </w:p>
        </w:tc>
        <w:tc>
          <w:tcPr>
            <w:tcW w:w="934" w:type="dxa"/>
          </w:tcPr>
          <w:p w14:paraId="6055C3D3" w14:textId="2EA04487" w:rsidR="00EC1479" w:rsidRPr="00FF78BB"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3D56">
              <w:rPr>
                <w:rFonts w:ascii="Arial" w:hAnsi="Arial" w:cs="Arial"/>
                <w:color w:val="auto"/>
                <w:sz w:val="18"/>
                <w:szCs w:val="18"/>
              </w:rPr>
              <w:t>$</w:t>
            </w:r>
            <w:r w:rsidR="007A7A81">
              <w:rPr>
                <w:rFonts w:ascii="Arial" w:hAnsi="Arial" w:cs="Arial"/>
                <w:color w:val="auto"/>
                <w:sz w:val="18"/>
                <w:szCs w:val="18"/>
              </w:rPr>
              <w:t>206</w:t>
            </w:r>
            <w:r w:rsidRPr="00F93D56">
              <w:rPr>
                <w:rFonts w:ascii="Arial" w:hAnsi="Arial" w:cs="Arial"/>
                <w:color w:val="auto"/>
                <w:sz w:val="18"/>
                <w:szCs w:val="18"/>
              </w:rPr>
              <w:t>M</w:t>
            </w:r>
          </w:p>
        </w:tc>
        <w:tc>
          <w:tcPr>
            <w:tcW w:w="1332" w:type="dxa"/>
          </w:tcPr>
          <w:p w14:paraId="5546527D" w14:textId="51B94075" w:rsidR="00EC1479" w:rsidRPr="00E85BEE"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3.4</w:t>
            </w:r>
            <w:r w:rsidRPr="00616444">
              <w:rPr>
                <w:rFonts w:ascii="Arial" w:hAnsi="Arial" w:cs="Arial"/>
                <w:color w:val="000000"/>
                <w:sz w:val="18"/>
                <w:szCs w:val="18"/>
              </w:rPr>
              <w:t>%</w:t>
            </w:r>
          </w:p>
        </w:tc>
        <w:tc>
          <w:tcPr>
            <w:tcW w:w="1337" w:type="dxa"/>
          </w:tcPr>
          <w:p w14:paraId="05D76147" w14:textId="071EE1D5" w:rsidR="00EC1479" w:rsidRPr="00E85BEE" w:rsidRDefault="00EC1479" w:rsidP="00EC1479">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616444">
              <w:rPr>
                <w:rFonts w:ascii="Arial" w:hAnsi="Arial" w:cs="Arial"/>
                <w:color w:val="000000"/>
                <w:sz w:val="18"/>
                <w:szCs w:val="18"/>
              </w:rPr>
              <w:t>+</w:t>
            </w:r>
            <w:r w:rsidR="007A7A81">
              <w:rPr>
                <w:rFonts w:ascii="Arial" w:hAnsi="Arial" w:cs="Arial"/>
                <w:color w:val="000000"/>
                <w:sz w:val="18"/>
                <w:szCs w:val="18"/>
              </w:rPr>
              <w:t>4.3</w:t>
            </w:r>
            <w:r w:rsidRPr="00616444">
              <w:rPr>
                <w:rFonts w:ascii="Arial" w:hAnsi="Arial" w:cs="Arial"/>
                <w:color w:val="000000"/>
                <w:sz w:val="18"/>
                <w:szCs w:val="18"/>
              </w:rPr>
              <w:t>%</w:t>
            </w:r>
          </w:p>
        </w:tc>
      </w:tr>
      <w:tr w:rsidR="008C536A" w:rsidRPr="004C4D23" w14:paraId="21CD7F41" w14:textId="77777777" w:rsidTr="008C536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5F6DC12C" w14:textId="77777777" w:rsidR="008C536A" w:rsidRPr="00FF78BB" w:rsidRDefault="008C536A" w:rsidP="008C536A">
            <w:pPr>
              <w:pStyle w:val="NoSpacing"/>
              <w:rPr>
                <w:rFonts w:ascii="Arial" w:hAnsi="Arial" w:cs="Arial"/>
                <w:sz w:val="18"/>
                <w:szCs w:val="18"/>
              </w:rPr>
            </w:pPr>
            <w:r w:rsidRPr="00FF78BB">
              <w:rPr>
                <w:rFonts w:ascii="Arial" w:hAnsi="Arial" w:cs="Arial"/>
                <w:b w:val="0"/>
                <w:bCs w:val="0"/>
                <w:sz w:val="18"/>
                <w:szCs w:val="18"/>
              </w:rPr>
              <w:t>Desserts</w:t>
            </w:r>
          </w:p>
        </w:tc>
        <w:tc>
          <w:tcPr>
            <w:tcW w:w="990" w:type="dxa"/>
            <w:gridSpan w:val="2"/>
          </w:tcPr>
          <w:p w14:paraId="10988D54" w14:textId="2AD07208" w:rsidR="008C536A" w:rsidRPr="00FF78BB"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0065">
              <w:rPr>
                <w:rFonts w:ascii="Arial" w:hAnsi="Arial" w:cs="Arial"/>
                <w:color w:val="auto"/>
                <w:sz w:val="18"/>
                <w:szCs w:val="18"/>
              </w:rPr>
              <w:t>$</w:t>
            </w:r>
            <w:r w:rsidR="007A7A81">
              <w:rPr>
                <w:rFonts w:ascii="Arial" w:hAnsi="Arial" w:cs="Arial"/>
                <w:color w:val="auto"/>
                <w:sz w:val="18"/>
                <w:szCs w:val="18"/>
              </w:rPr>
              <w:t>7.0</w:t>
            </w:r>
            <w:r w:rsidRPr="007C0065">
              <w:rPr>
                <w:rFonts w:ascii="Arial" w:hAnsi="Arial" w:cs="Arial"/>
                <w:color w:val="auto"/>
                <w:sz w:val="18"/>
                <w:szCs w:val="18"/>
              </w:rPr>
              <w:t>M</w:t>
            </w:r>
          </w:p>
        </w:tc>
        <w:tc>
          <w:tcPr>
            <w:tcW w:w="1075" w:type="dxa"/>
            <w:vAlign w:val="center"/>
          </w:tcPr>
          <w:p w14:paraId="477288E9" w14:textId="0213006A" w:rsidR="008C536A" w:rsidRPr="004F6785"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815AE">
              <w:rPr>
                <w:rFonts w:ascii="Arial" w:hAnsi="Arial" w:cs="Arial"/>
                <w:color w:val="000000"/>
                <w:sz w:val="18"/>
                <w:szCs w:val="18"/>
              </w:rPr>
              <w:t>-</w:t>
            </w:r>
            <w:r w:rsidR="007A7A81">
              <w:rPr>
                <w:rFonts w:ascii="Arial" w:hAnsi="Arial" w:cs="Arial"/>
                <w:color w:val="000000"/>
                <w:sz w:val="18"/>
                <w:szCs w:val="18"/>
              </w:rPr>
              <w:t>12.9</w:t>
            </w:r>
            <w:r w:rsidRPr="002815AE">
              <w:rPr>
                <w:rFonts w:ascii="Arial" w:hAnsi="Arial" w:cs="Arial"/>
                <w:color w:val="000000"/>
                <w:sz w:val="18"/>
                <w:szCs w:val="18"/>
              </w:rPr>
              <w:t>%</w:t>
            </w:r>
          </w:p>
        </w:tc>
        <w:tc>
          <w:tcPr>
            <w:tcW w:w="1332" w:type="dxa"/>
            <w:tcBorders>
              <w:right w:val="single" w:sz="4" w:space="0" w:color="auto"/>
            </w:tcBorders>
            <w:vAlign w:val="center"/>
          </w:tcPr>
          <w:p w14:paraId="0FFB31BB" w14:textId="33755906" w:rsidR="008C536A" w:rsidRPr="004F6785"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815AE">
              <w:rPr>
                <w:rFonts w:ascii="Arial" w:hAnsi="Arial" w:cs="Arial"/>
                <w:color w:val="000000"/>
                <w:sz w:val="18"/>
                <w:szCs w:val="18"/>
              </w:rPr>
              <w:t>-</w:t>
            </w:r>
            <w:r w:rsidR="007A7A81">
              <w:rPr>
                <w:rFonts w:ascii="Arial" w:hAnsi="Arial" w:cs="Arial"/>
                <w:color w:val="000000"/>
                <w:sz w:val="18"/>
                <w:szCs w:val="18"/>
              </w:rPr>
              <w:t>12.3</w:t>
            </w:r>
            <w:r w:rsidRPr="002815AE">
              <w:rPr>
                <w:rFonts w:ascii="Arial" w:hAnsi="Arial" w:cs="Arial"/>
                <w:color w:val="000000"/>
                <w:sz w:val="18"/>
                <w:szCs w:val="18"/>
              </w:rPr>
              <w:t>%</w:t>
            </w:r>
          </w:p>
        </w:tc>
        <w:tc>
          <w:tcPr>
            <w:tcW w:w="1733" w:type="dxa"/>
            <w:tcBorders>
              <w:left w:val="single" w:sz="4" w:space="0" w:color="auto"/>
              <w:bottom w:val="single" w:sz="4" w:space="0" w:color="000000" w:themeColor="text1"/>
            </w:tcBorders>
            <w:vAlign w:val="center"/>
          </w:tcPr>
          <w:p w14:paraId="32AF99AB" w14:textId="77777777" w:rsidR="008C536A" w:rsidRPr="00FF78BB" w:rsidRDefault="008C536A" w:rsidP="008C536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78BB">
              <w:rPr>
                <w:rFonts w:ascii="Arial" w:hAnsi="Arial" w:cs="Arial"/>
                <w:sz w:val="18"/>
                <w:szCs w:val="18"/>
              </w:rPr>
              <w:t>Desserts</w:t>
            </w:r>
          </w:p>
        </w:tc>
        <w:tc>
          <w:tcPr>
            <w:tcW w:w="934" w:type="dxa"/>
          </w:tcPr>
          <w:p w14:paraId="15A6FA95" w14:textId="0565E39E" w:rsidR="008C536A" w:rsidRPr="00FF78BB"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93D56">
              <w:rPr>
                <w:rFonts w:ascii="Arial" w:hAnsi="Arial" w:cs="Arial"/>
                <w:color w:val="auto"/>
                <w:sz w:val="18"/>
                <w:szCs w:val="18"/>
              </w:rPr>
              <w:t>$</w:t>
            </w:r>
            <w:r w:rsidR="007A7A81">
              <w:rPr>
                <w:rFonts w:ascii="Arial" w:hAnsi="Arial" w:cs="Arial"/>
                <w:color w:val="auto"/>
                <w:sz w:val="18"/>
                <w:szCs w:val="18"/>
              </w:rPr>
              <w:t>90</w:t>
            </w:r>
            <w:r w:rsidRPr="00F93D56">
              <w:rPr>
                <w:rFonts w:ascii="Arial" w:hAnsi="Arial" w:cs="Arial"/>
                <w:color w:val="auto"/>
                <w:sz w:val="18"/>
                <w:szCs w:val="18"/>
              </w:rPr>
              <w:t>M</w:t>
            </w:r>
          </w:p>
        </w:tc>
        <w:tc>
          <w:tcPr>
            <w:tcW w:w="1332" w:type="dxa"/>
            <w:vAlign w:val="center"/>
          </w:tcPr>
          <w:p w14:paraId="41E7E837" w14:textId="136A4CF3" w:rsidR="008C536A" w:rsidRPr="00E85BEE"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176FE">
              <w:rPr>
                <w:rFonts w:ascii="Arial" w:hAnsi="Arial" w:cs="Arial"/>
                <w:color w:val="000000"/>
                <w:sz w:val="18"/>
                <w:szCs w:val="18"/>
              </w:rPr>
              <w:t>-</w:t>
            </w:r>
            <w:r w:rsidR="007A7A81">
              <w:rPr>
                <w:rFonts w:ascii="Arial" w:hAnsi="Arial" w:cs="Arial"/>
                <w:color w:val="000000"/>
                <w:sz w:val="18"/>
                <w:szCs w:val="18"/>
              </w:rPr>
              <w:t>12.0</w:t>
            </w:r>
            <w:r w:rsidRPr="00C176FE">
              <w:rPr>
                <w:rFonts w:ascii="Arial" w:hAnsi="Arial" w:cs="Arial"/>
                <w:color w:val="000000"/>
                <w:sz w:val="18"/>
                <w:szCs w:val="18"/>
              </w:rPr>
              <w:t>%</w:t>
            </w:r>
          </w:p>
        </w:tc>
        <w:tc>
          <w:tcPr>
            <w:tcW w:w="1337" w:type="dxa"/>
            <w:vAlign w:val="center"/>
          </w:tcPr>
          <w:p w14:paraId="78C467C2" w14:textId="5DCF3800" w:rsidR="008C536A" w:rsidRPr="00E85BEE" w:rsidRDefault="008C536A" w:rsidP="008C536A">
            <w:pPr>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176FE">
              <w:rPr>
                <w:rFonts w:ascii="Arial" w:hAnsi="Arial" w:cs="Arial"/>
                <w:color w:val="000000"/>
                <w:sz w:val="18"/>
                <w:szCs w:val="18"/>
              </w:rPr>
              <w:t>-</w:t>
            </w:r>
            <w:r w:rsidR="007A7A81">
              <w:rPr>
                <w:rFonts w:ascii="Arial" w:hAnsi="Arial" w:cs="Arial"/>
                <w:color w:val="000000"/>
                <w:sz w:val="18"/>
                <w:szCs w:val="18"/>
              </w:rPr>
              <w:t>13.1</w:t>
            </w:r>
            <w:r w:rsidRPr="00C176FE">
              <w:rPr>
                <w:rFonts w:ascii="Arial" w:hAnsi="Arial" w:cs="Arial"/>
                <w:color w:val="000000"/>
                <w:sz w:val="18"/>
                <w:szCs w:val="18"/>
              </w:rPr>
              <w:t>%</w:t>
            </w:r>
          </w:p>
        </w:tc>
      </w:tr>
    </w:tbl>
    <w:p w14:paraId="411F0DAF" w14:textId="77777777" w:rsidR="008A06C7" w:rsidRDefault="008A06C7" w:rsidP="00A03097">
      <w:pPr>
        <w:pStyle w:val="NoSpacing"/>
        <w:rPr>
          <w:rFonts w:ascii="Arial" w:hAnsi="Arial" w:cs="Arial"/>
          <w:color w:val="7F7F7F" w:themeColor="text1" w:themeTint="80"/>
          <w:sz w:val="16"/>
          <w:szCs w:val="16"/>
        </w:rPr>
      </w:pPr>
    </w:p>
    <w:p w14:paraId="6397AB2A" w14:textId="2E5BF6DE" w:rsidR="00A03097" w:rsidRPr="00EC07EE" w:rsidRDefault="00A03097" w:rsidP="00A03097">
      <w:pPr>
        <w:pStyle w:val="NoSpacing"/>
        <w:rPr>
          <w:rFonts w:ascii="Arial" w:hAnsi="Arial" w:cs="Arial"/>
          <w:color w:val="7F7F7F" w:themeColor="text1" w:themeTint="80"/>
          <w:sz w:val="16"/>
          <w:szCs w:val="16"/>
        </w:rPr>
      </w:pPr>
      <w:r w:rsidRPr="00EC07EE">
        <w:rPr>
          <w:rFonts w:ascii="Arial" w:hAnsi="Arial" w:cs="Arial"/>
          <w:color w:val="7F7F7F" w:themeColor="text1" w:themeTint="80"/>
          <w:sz w:val="16"/>
          <w:szCs w:val="16"/>
        </w:rPr>
        <w:t xml:space="preserve">Source: </w:t>
      </w:r>
      <w:proofErr w:type="spellStart"/>
      <w:r w:rsidRPr="00EC07EE">
        <w:rPr>
          <w:rFonts w:ascii="Arial" w:hAnsi="Arial" w:cs="Arial"/>
          <w:color w:val="7F7F7F" w:themeColor="text1" w:themeTint="80"/>
          <w:sz w:val="16"/>
          <w:szCs w:val="16"/>
        </w:rPr>
        <w:t>Circana</w:t>
      </w:r>
      <w:proofErr w:type="spellEnd"/>
      <w:r w:rsidRPr="00EC07EE">
        <w:rPr>
          <w:rFonts w:ascii="Arial" w:hAnsi="Arial" w:cs="Arial"/>
          <w:color w:val="7F7F7F" w:themeColor="text1" w:themeTint="80"/>
          <w:sz w:val="16"/>
          <w:szCs w:val="16"/>
        </w:rPr>
        <w:t xml:space="preserve">, Total US, </w:t>
      </w:r>
      <w:r>
        <w:rPr>
          <w:rFonts w:ascii="Arial" w:hAnsi="Arial" w:cs="Arial"/>
          <w:color w:val="7F7F7F" w:themeColor="text1" w:themeTint="80"/>
          <w:sz w:val="16"/>
          <w:szCs w:val="16"/>
        </w:rPr>
        <w:t>MULO+</w:t>
      </w:r>
      <w:r w:rsidRPr="00EC07EE">
        <w:rPr>
          <w:rFonts w:ascii="Arial" w:hAnsi="Arial" w:cs="Arial"/>
          <w:color w:val="7F7F7F" w:themeColor="text1" w:themeTint="80"/>
          <w:sz w:val="16"/>
          <w:szCs w:val="16"/>
        </w:rPr>
        <w:t>, Integrated Fresh, % increase versus same period year ago, deli prepared foods including both fixed and random weight</w:t>
      </w:r>
      <w:r w:rsidR="00EA3217">
        <w:rPr>
          <w:rFonts w:ascii="Arial" w:hAnsi="Arial" w:cs="Arial"/>
          <w:color w:val="7F7F7F" w:themeColor="text1" w:themeTint="80"/>
          <w:sz w:val="16"/>
          <w:szCs w:val="16"/>
        </w:rPr>
        <w:t>.</w:t>
      </w:r>
    </w:p>
    <w:p w14:paraId="4C8E6032" w14:textId="77777777" w:rsidR="00A03097" w:rsidRPr="00EC07EE" w:rsidRDefault="00A03097" w:rsidP="00A03097">
      <w:pPr>
        <w:spacing w:after="0"/>
        <w:rPr>
          <w:rFonts w:ascii="Arial" w:hAnsi="Arial" w:cs="Arial"/>
          <w:b/>
          <w:color w:val="7F7F7F" w:themeColor="text1" w:themeTint="80"/>
          <w:sz w:val="24"/>
          <w:szCs w:val="16"/>
        </w:rPr>
      </w:pPr>
    </w:p>
    <w:p w14:paraId="51927B24" w14:textId="77777777" w:rsidR="0022537E" w:rsidRPr="00CA62D6" w:rsidRDefault="0022537E" w:rsidP="00720067">
      <w:pPr>
        <w:pStyle w:val="NoSpacing"/>
        <w:rPr>
          <w:rFonts w:ascii="Arial" w:hAnsi="Arial" w:cs="Arial"/>
          <w:sz w:val="18"/>
          <w:szCs w:val="20"/>
        </w:rPr>
      </w:pPr>
      <w:bookmarkStart w:id="15" w:name="_Hlk121583547"/>
      <w:bookmarkStart w:id="16" w:name="_Hlk116291245"/>
      <w:bookmarkStart w:id="17" w:name="_Hlk79236872"/>
    </w:p>
    <w:bookmarkEnd w:id="15"/>
    <w:bookmarkEnd w:id="16"/>
    <w:bookmarkEnd w:id="17"/>
    <w:p w14:paraId="42B55898" w14:textId="26060FA4" w:rsidR="0022537E" w:rsidRDefault="0022537E" w:rsidP="0022537E">
      <w:pPr>
        <w:pStyle w:val="NoSpacing"/>
        <w:rPr>
          <w:rFonts w:ascii="Arial" w:hAnsi="Arial" w:cs="Arial"/>
          <w:b/>
          <w:sz w:val="20"/>
          <w:szCs w:val="20"/>
        </w:rPr>
      </w:pPr>
      <w:r>
        <w:rPr>
          <w:rFonts w:ascii="Arial" w:hAnsi="Arial" w:cs="Arial"/>
          <w:b/>
          <w:sz w:val="20"/>
          <w:szCs w:val="20"/>
        </w:rPr>
        <w:t xml:space="preserve">Date ranges: </w:t>
      </w:r>
    </w:p>
    <w:p w14:paraId="3E84A734" w14:textId="77777777" w:rsidR="00AE4240" w:rsidRDefault="005F1129" w:rsidP="0022537E">
      <w:pPr>
        <w:pStyle w:val="NoSpacing"/>
        <w:rPr>
          <w:rFonts w:ascii="Arial" w:hAnsi="Arial" w:cs="Arial"/>
          <w:sz w:val="20"/>
          <w:szCs w:val="20"/>
        </w:rPr>
      </w:pPr>
      <w:r>
        <w:rPr>
          <w:rFonts w:ascii="Arial" w:hAnsi="Arial" w:cs="Arial"/>
          <w:sz w:val="20"/>
          <w:szCs w:val="20"/>
        </w:rPr>
        <w:t>2024: 52 weeks ending 12/29/2024</w:t>
      </w:r>
      <w:r w:rsidR="00AE4240">
        <w:rPr>
          <w:rFonts w:ascii="Arial" w:hAnsi="Arial" w:cs="Arial"/>
          <w:sz w:val="20"/>
          <w:szCs w:val="20"/>
        </w:rPr>
        <w:t xml:space="preserve">         </w:t>
      </w:r>
    </w:p>
    <w:p w14:paraId="72F31BA1" w14:textId="348910B4" w:rsidR="005F1129" w:rsidRDefault="005F1129" w:rsidP="0022537E">
      <w:pPr>
        <w:pStyle w:val="NoSpacing"/>
        <w:rPr>
          <w:rFonts w:ascii="Arial" w:hAnsi="Arial" w:cs="Arial"/>
          <w:sz w:val="20"/>
          <w:szCs w:val="20"/>
        </w:rPr>
      </w:pPr>
      <w:r>
        <w:rPr>
          <w:rFonts w:ascii="Arial" w:hAnsi="Arial" w:cs="Arial"/>
          <w:sz w:val="20"/>
          <w:szCs w:val="20"/>
        </w:rPr>
        <w:t>Q</w:t>
      </w:r>
      <w:r w:rsidR="008A06C7">
        <w:rPr>
          <w:rFonts w:ascii="Arial" w:hAnsi="Arial" w:cs="Arial"/>
          <w:sz w:val="20"/>
          <w:szCs w:val="20"/>
        </w:rPr>
        <w:t>1</w:t>
      </w:r>
      <w:r>
        <w:rPr>
          <w:rFonts w:ascii="Arial" w:hAnsi="Arial" w:cs="Arial"/>
          <w:sz w:val="20"/>
          <w:szCs w:val="20"/>
        </w:rPr>
        <w:t xml:space="preserve"> 202</w:t>
      </w:r>
      <w:r w:rsidR="008A06C7">
        <w:rPr>
          <w:rFonts w:ascii="Arial" w:hAnsi="Arial" w:cs="Arial"/>
          <w:sz w:val="20"/>
          <w:szCs w:val="20"/>
        </w:rPr>
        <w:t>5</w:t>
      </w:r>
      <w:r>
        <w:rPr>
          <w:rFonts w:ascii="Arial" w:hAnsi="Arial" w:cs="Arial"/>
          <w:sz w:val="20"/>
          <w:szCs w:val="20"/>
        </w:rPr>
        <w:t xml:space="preserve">: 13 weeks ending </w:t>
      </w:r>
      <w:r w:rsidR="008A06C7">
        <w:rPr>
          <w:rFonts w:ascii="Arial" w:hAnsi="Arial" w:cs="Arial"/>
          <w:sz w:val="20"/>
          <w:szCs w:val="20"/>
        </w:rPr>
        <w:t>3</w:t>
      </w:r>
      <w:r>
        <w:rPr>
          <w:rFonts w:ascii="Arial" w:hAnsi="Arial" w:cs="Arial"/>
          <w:sz w:val="20"/>
          <w:szCs w:val="20"/>
        </w:rPr>
        <w:t>/</w:t>
      </w:r>
      <w:r w:rsidR="008A06C7">
        <w:rPr>
          <w:rFonts w:ascii="Arial" w:hAnsi="Arial" w:cs="Arial"/>
          <w:sz w:val="20"/>
          <w:szCs w:val="20"/>
        </w:rPr>
        <w:t>30</w:t>
      </w:r>
      <w:r>
        <w:rPr>
          <w:rFonts w:ascii="Arial" w:hAnsi="Arial" w:cs="Arial"/>
          <w:sz w:val="20"/>
          <w:szCs w:val="20"/>
        </w:rPr>
        <w:t>/202</w:t>
      </w:r>
      <w:r w:rsidR="008A06C7">
        <w:rPr>
          <w:rFonts w:ascii="Arial" w:hAnsi="Arial" w:cs="Arial"/>
          <w:sz w:val="20"/>
          <w:szCs w:val="20"/>
        </w:rPr>
        <w:t>5</w:t>
      </w:r>
      <w:r w:rsidR="00AE4240">
        <w:rPr>
          <w:rFonts w:ascii="Arial" w:hAnsi="Arial" w:cs="Arial"/>
          <w:sz w:val="20"/>
          <w:szCs w:val="20"/>
        </w:rPr>
        <w:t xml:space="preserve">       </w:t>
      </w:r>
    </w:p>
    <w:p w14:paraId="1522D985" w14:textId="00203520" w:rsidR="00922058" w:rsidRPr="001031CD" w:rsidRDefault="000A2703" w:rsidP="0022537E">
      <w:pPr>
        <w:pStyle w:val="NoSpacing"/>
        <w:rPr>
          <w:rFonts w:ascii="Arial" w:hAnsi="Arial" w:cs="Arial"/>
          <w:sz w:val="20"/>
          <w:szCs w:val="20"/>
          <w:lang w:val="en-GB"/>
        </w:rPr>
      </w:pPr>
      <w:r>
        <w:rPr>
          <w:rFonts w:ascii="Arial" w:hAnsi="Arial" w:cs="Arial"/>
          <w:sz w:val="20"/>
          <w:szCs w:val="20"/>
        </w:rPr>
        <w:t>June</w:t>
      </w:r>
      <w:r w:rsidR="00EB6E25">
        <w:rPr>
          <w:rFonts w:ascii="Arial" w:hAnsi="Arial" w:cs="Arial"/>
          <w:sz w:val="20"/>
          <w:szCs w:val="20"/>
        </w:rPr>
        <w:t xml:space="preserve"> </w:t>
      </w:r>
      <w:r w:rsidR="00EE41DD">
        <w:rPr>
          <w:rFonts w:ascii="Arial" w:hAnsi="Arial" w:cs="Arial"/>
          <w:sz w:val="20"/>
          <w:szCs w:val="20"/>
        </w:rPr>
        <w:t>2025</w:t>
      </w:r>
      <w:r w:rsidR="0022537E">
        <w:rPr>
          <w:rFonts w:ascii="Arial" w:hAnsi="Arial" w:cs="Arial"/>
          <w:sz w:val="20"/>
          <w:szCs w:val="20"/>
        </w:rPr>
        <w:t xml:space="preserve">: </w:t>
      </w:r>
      <w:r>
        <w:rPr>
          <w:rFonts w:ascii="Arial" w:hAnsi="Arial" w:cs="Arial"/>
          <w:sz w:val="20"/>
          <w:szCs w:val="20"/>
        </w:rPr>
        <w:t>4</w:t>
      </w:r>
      <w:r w:rsidR="000C3F73">
        <w:rPr>
          <w:rFonts w:ascii="Arial" w:hAnsi="Arial" w:cs="Arial"/>
          <w:sz w:val="20"/>
          <w:szCs w:val="20"/>
        </w:rPr>
        <w:t xml:space="preserve"> weeks ending </w:t>
      </w:r>
      <w:r w:rsidR="00EC2C7C">
        <w:rPr>
          <w:rFonts w:ascii="Arial" w:hAnsi="Arial" w:cs="Arial"/>
          <w:sz w:val="20"/>
          <w:szCs w:val="20"/>
        </w:rPr>
        <w:t>6</w:t>
      </w:r>
      <w:r w:rsidR="000C3F73">
        <w:rPr>
          <w:rFonts w:ascii="Arial" w:hAnsi="Arial" w:cs="Arial"/>
          <w:sz w:val="20"/>
          <w:szCs w:val="20"/>
        </w:rPr>
        <w:t>/</w:t>
      </w:r>
      <w:r>
        <w:rPr>
          <w:rFonts w:ascii="Arial" w:hAnsi="Arial" w:cs="Arial"/>
          <w:sz w:val="20"/>
          <w:szCs w:val="20"/>
        </w:rPr>
        <w:t>29</w:t>
      </w:r>
      <w:r w:rsidR="0022537E">
        <w:rPr>
          <w:rFonts w:ascii="Arial" w:hAnsi="Arial" w:cs="Arial"/>
          <w:sz w:val="20"/>
          <w:szCs w:val="20"/>
        </w:rPr>
        <w:t>/202</w:t>
      </w:r>
      <w:r w:rsidR="00EE41DD">
        <w:rPr>
          <w:rFonts w:ascii="Arial" w:hAnsi="Arial" w:cs="Arial"/>
          <w:sz w:val="20"/>
          <w:szCs w:val="20"/>
        </w:rPr>
        <w:t>5</w:t>
      </w:r>
    </w:p>
    <w:sectPr w:rsidR="00922058" w:rsidRPr="001031CD" w:rsidSect="0088460E">
      <w:headerReference w:type="default" r:id="rId12"/>
      <w:footerReference w:type="default" r:id="rId13"/>
      <w:pgSz w:w="12240" w:h="15840"/>
      <w:pgMar w:top="1620" w:right="810" w:bottom="851" w:left="900"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377B2" w14:textId="77777777" w:rsidR="009E1A8D" w:rsidRDefault="009E1A8D" w:rsidP="00030F05">
      <w:pPr>
        <w:spacing w:after="0" w:line="240" w:lineRule="auto"/>
      </w:pPr>
      <w:r>
        <w:separator/>
      </w:r>
    </w:p>
  </w:endnote>
  <w:endnote w:type="continuationSeparator" w:id="0">
    <w:p w14:paraId="0A6A82D2" w14:textId="77777777" w:rsidR="009E1A8D" w:rsidRDefault="009E1A8D" w:rsidP="0003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1E2C" w14:textId="313998B3" w:rsidR="00736703" w:rsidRDefault="00736703">
    <w:pPr>
      <w:pStyle w:val="Footer"/>
    </w:pPr>
    <w:r w:rsidRPr="00B87C2C">
      <w:rPr>
        <w:rFonts w:ascii="Arial" w:hAnsi="Arial" w:cs="Arial"/>
        <w:noProof/>
        <w:sz w:val="18"/>
        <w:szCs w:val="18"/>
        <w:lang w:val="nl-NL" w:eastAsia="nl-NL"/>
      </w:rPr>
      <w:drawing>
        <wp:anchor distT="0" distB="0" distL="114300" distR="114300" simplePos="0" relativeHeight="251700224" behindDoc="1" locked="0" layoutInCell="1" allowOverlap="1" wp14:anchorId="09A3E984" wp14:editId="37543810">
          <wp:simplePos x="0" y="0"/>
          <wp:positionH relativeFrom="margin">
            <wp:align>center</wp:align>
          </wp:positionH>
          <wp:positionV relativeFrom="paragraph">
            <wp:posOffset>-198120</wp:posOffset>
          </wp:positionV>
          <wp:extent cx="7767955" cy="612140"/>
          <wp:effectExtent l="0" t="0" r="4445" b="0"/>
          <wp:wrapNone/>
          <wp:docPr id="858771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09775" name="Picture 1269909775"/>
                  <pic:cNvPicPr/>
                </pic:nvPicPr>
                <pic:blipFill>
                  <a:blip r:embed="rId1">
                    <a:extLst>
                      <a:ext uri="{28A0092B-C50C-407E-A947-70E740481C1C}">
                        <a14:useLocalDpi xmlns:a14="http://schemas.microsoft.com/office/drawing/2010/main" val="0"/>
                      </a:ext>
                    </a:extLst>
                  </a:blip>
                  <a:stretch>
                    <a:fillRect/>
                  </a:stretch>
                </pic:blipFill>
                <pic:spPr>
                  <a:xfrm>
                    <a:off x="0" y="0"/>
                    <a:ext cx="776795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A5E44" w14:textId="77777777" w:rsidR="009E1A8D" w:rsidRDefault="009E1A8D" w:rsidP="00030F05">
      <w:pPr>
        <w:spacing w:after="0" w:line="240" w:lineRule="auto"/>
      </w:pPr>
      <w:r>
        <w:separator/>
      </w:r>
    </w:p>
  </w:footnote>
  <w:footnote w:type="continuationSeparator" w:id="0">
    <w:p w14:paraId="5B4409B2" w14:textId="77777777" w:rsidR="009E1A8D" w:rsidRDefault="009E1A8D" w:rsidP="00030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A7A67" w14:textId="33E511A1" w:rsidR="005B0011" w:rsidRPr="0088460E" w:rsidRDefault="005B0011" w:rsidP="0088460E">
    <w:pPr>
      <w:pStyle w:val="Header"/>
    </w:pPr>
    <w:r>
      <w:rPr>
        <w:noProof/>
        <w:lang w:val="nl-NL" w:eastAsia="nl-NL"/>
      </w:rPr>
      <w:drawing>
        <wp:anchor distT="0" distB="0" distL="114300" distR="114300" simplePos="0" relativeHeight="251698176" behindDoc="1" locked="0" layoutInCell="1" allowOverlap="1" wp14:anchorId="75E22B85" wp14:editId="1E4E1B9D">
          <wp:simplePos x="0" y="0"/>
          <wp:positionH relativeFrom="page">
            <wp:align>left</wp:align>
          </wp:positionH>
          <wp:positionV relativeFrom="paragraph">
            <wp:posOffset>-440055</wp:posOffset>
          </wp:positionV>
          <wp:extent cx="7753350" cy="912158"/>
          <wp:effectExtent l="0" t="0" r="0" b="2540"/>
          <wp:wrapNone/>
          <wp:docPr id="1096245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452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6587" cy="917245"/>
                  </a:xfrm>
                  <a:prstGeom prst="rect">
                    <a:avLst/>
                  </a:prstGeom>
                </pic:spPr>
              </pic:pic>
            </a:graphicData>
          </a:graphic>
          <wp14:sizeRelH relativeFrom="margin">
            <wp14:pctWidth>0</wp14:pctWidth>
          </wp14:sizeRelH>
          <wp14:sizeRelV relativeFrom="margin">
            <wp14:pctHeight>0</wp14:pctHeight>
          </wp14:sizeRelV>
        </wp:anchor>
      </w:drawing>
    </w:r>
  </w:p>
  <w:p w14:paraId="6426B58E" w14:textId="77777777" w:rsidR="005B0011" w:rsidRDefault="005B0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954"/>
    <w:multiLevelType w:val="hybridMultilevel"/>
    <w:tmpl w:val="F6C69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11224"/>
    <w:multiLevelType w:val="hybridMultilevel"/>
    <w:tmpl w:val="158842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C573A"/>
    <w:multiLevelType w:val="hybridMultilevel"/>
    <w:tmpl w:val="1D1E7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77733"/>
    <w:multiLevelType w:val="hybridMultilevel"/>
    <w:tmpl w:val="6B4226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950BDE"/>
    <w:multiLevelType w:val="hybridMultilevel"/>
    <w:tmpl w:val="10061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27006F"/>
    <w:multiLevelType w:val="hybridMultilevel"/>
    <w:tmpl w:val="A432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F527BC"/>
    <w:multiLevelType w:val="hybridMultilevel"/>
    <w:tmpl w:val="48E88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72E4B"/>
    <w:multiLevelType w:val="hybridMultilevel"/>
    <w:tmpl w:val="87B83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D91D71"/>
    <w:multiLevelType w:val="hybridMultilevel"/>
    <w:tmpl w:val="57B05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3F44FE"/>
    <w:multiLevelType w:val="hybridMultilevel"/>
    <w:tmpl w:val="ED52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C76C8"/>
    <w:multiLevelType w:val="hybridMultilevel"/>
    <w:tmpl w:val="31285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483187"/>
    <w:multiLevelType w:val="hybridMultilevel"/>
    <w:tmpl w:val="8F4CEA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9825AD"/>
    <w:multiLevelType w:val="hybridMultilevel"/>
    <w:tmpl w:val="4EEC1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005047"/>
    <w:multiLevelType w:val="hybridMultilevel"/>
    <w:tmpl w:val="F61E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516D57"/>
    <w:multiLevelType w:val="hybridMultilevel"/>
    <w:tmpl w:val="CAD4A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F94F4B"/>
    <w:multiLevelType w:val="hybridMultilevel"/>
    <w:tmpl w:val="4A7E1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EB60E0"/>
    <w:multiLevelType w:val="hybridMultilevel"/>
    <w:tmpl w:val="2A14C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29509D"/>
    <w:multiLevelType w:val="hybridMultilevel"/>
    <w:tmpl w:val="ADEE0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A662F0"/>
    <w:multiLevelType w:val="hybridMultilevel"/>
    <w:tmpl w:val="B8A29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222FAB"/>
    <w:multiLevelType w:val="hybridMultilevel"/>
    <w:tmpl w:val="D3A4B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F54E1E"/>
    <w:multiLevelType w:val="hybridMultilevel"/>
    <w:tmpl w:val="84CC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B7570C"/>
    <w:multiLevelType w:val="hybridMultilevel"/>
    <w:tmpl w:val="70ECB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F56A56"/>
    <w:multiLevelType w:val="hybridMultilevel"/>
    <w:tmpl w:val="4FDAD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386CF6"/>
    <w:multiLevelType w:val="hybridMultilevel"/>
    <w:tmpl w:val="C1766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8682542">
    <w:abstractNumId w:val="24"/>
  </w:num>
  <w:num w:numId="2" w16cid:durableId="291012265">
    <w:abstractNumId w:val="15"/>
  </w:num>
  <w:num w:numId="3" w16cid:durableId="2016766996">
    <w:abstractNumId w:val="6"/>
  </w:num>
  <w:num w:numId="4" w16cid:durableId="1464619299">
    <w:abstractNumId w:val="20"/>
  </w:num>
  <w:num w:numId="5" w16cid:durableId="1804540336">
    <w:abstractNumId w:val="14"/>
  </w:num>
  <w:num w:numId="6" w16cid:durableId="1313556441">
    <w:abstractNumId w:val="29"/>
  </w:num>
  <w:num w:numId="7" w16cid:durableId="1146513862">
    <w:abstractNumId w:val="7"/>
  </w:num>
  <w:num w:numId="8" w16cid:durableId="1169372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5590906">
    <w:abstractNumId w:val="9"/>
  </w:num>
  <w:num w:numId="10" w16cid:durableId="1124732272">
    <w:abstractNumId w:val="13"/>
  </w:num>
  <w:num w:numId="11" w16cid:durableId="134683348">
    <w:abstractNumId w:val="22"/>
  </w:num>
  <w:num w:numId="12" w16cid:durableId="1271626592">
    <w:abstractNumId w:val="1"/>
  </w:num>
  <w:num w:numId="13" w16cid:durableId="828054143">
    <w:abstractNumId w:val="25"/>
  </w:num>
  <w:num w:numId="14" w16cid:durableId="511529765">
    <w:abstractNumId w:val="26"/>
  </w:num>
  <w:num w:numId="15" w16cid:durableId="1972053429">
    <w:abstractNumId w:val="5"/>
  </w:num>
  <w:num w:numId="16" w16cid:durableId="1358696939">
    <w:abstractNumId w:val="2"/>
  </w:num>
  <w:num w:numId="17" w16cid:durableId="343673232">
    <w:abstractNumId w:val="4"/>
  </w:num>
  <w:num w:numId="18" w16cid:durableId="1679967617">
    <w:abstractNumId w:val="28"/>
  </w:num>
  <w:num w:numId="19" w16cid:durableId="1413506529">
    <w:abstractNumId w:val="0"/>
  </w:num>
  <w:num w:numId="20" w16cid:durableId="1563832458">
    <w:abstractNumId w:val="23"/>
  </w:num>
  <w:num w:numId="21" w16cid:durableId="270359462">
    <w:abstractNumId w:val="16"/>
  </w:num>
  <w:num w:numId="22" w16cid:durableId="871187294">
    <w:abstractNumId w:val="10"/>
  </w:num>
  <w:num w:numId="23" w16cid:durableId="442573514">
    <w:abstractNumId w:val="12"/>
  </w:num>
  <w:num w:numId="24" w16cid:durableId="2051874454">
    <w:abstractNumId w:val="19"/>
  </w:num>
  <w:num w:numId="25" w16cid:durableId="2113159640">
    <w:abstractNumId w:val="17"/>
  </w:num>
  <w:num w:numId="26" w16cid:durableId="501242485">
    <w:abstractNumId w:val="11"/>
  </w:num>
  <w:num w:numId="27" w16cid:durableId="550114115">
    <w:abstractNumId w:val="27"/>
  </w:num>
  <w:num w:numId="28" w16cid:durableId="462969856">
    <w:abstractNumId w:val="18"/>
  </w:num>
  <w:num w:numId="29" w16cid:durableId="1570117087">
    <w:abstractNumId w:val="12"/>
  </w:num>
  <w:num w:numId="30" w16cid:durableId="1132141064">
    <w:abstractNumId w:val="8"/>
  </w:num>
  <w:num w:numId="31" w16cid:durableId="1909219321">
    <w:abstractNumId w:val="3"/>
  </w:num>
  <w:num w:numId="32" w16cid:durableId="40796445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E3"/>
    <w:rsid w:val="000001F1"/>
    <w:rsid w:val="00000219"/>
    <w:rsid w:val="000009C5"/>
    <w:rsid w:val="000011EF"/>
    <w:rsid w:val="0000195E"/>
    <w:rsid w:val="00001F7D"/>
    <w:rsid w:val="00001F9D"/>
    <w:rsid w:val="00002925"/>
    <w:rsid w:val="00002F63"/>
    <w:rsid w:val="00002FD8"/>
    <w:rsid w:val="00005AC4"/>
    <w:rsid w:val="00007300"/>
    <w:rsid w:val="000073AF"/>
    <w:rsid w:val="0000766F"/>
    <w:rsid w:val="00007878"/>
    <w:rsid w:val="000079C3"/>
    <w:rsid w:val="00010FAD"/>
    <w:rsid w:val="000125AA"/>
    <w:rsid w:val="00012A5E"/>
    <w:rsid w:val="00012B1A"/>
    <w:rsid w:val="00013448"/>
    <w:rsid w:val="000134EB"/>
    <w:rsid w:val="00013E55"/>
    <w:rsid w:val="00014823"/>
    <w:rsid w:val="0001526F"/>
    <w:rsid w:val="00015EB3"/>
    <w:rsid w:val="0001787D"/>
    <w:rsid w:val="00017DCF"/>
    <w:rsid w:val="0002049A"/>
    <w:rsid w:val="000212AA"/>
    <w:rsid w:val="00021B82"/>
    <w:rsid w:val="00023F33"/>
    <w:rsid w:val="000253BC"/>
    <w:rsid w:val="000276C8"/>
    <w:rsid w:val="00027CAA"/>
    <w:rsid w:val="00030F05"/>
    <w:rsid w:val="000311F5"/>
    <w:rsid w:val="0003170A"/>
    <w:rsid w:val="00032DD7"/>
    <w:rsid w:val="00033B7B"/>
    <w:rsid w:val="00033D02"/>
    <w:rsid w:val="00033E4F"/>
    <w:rsid w:val="00034F34"/>
    <w:rsid w:val="000354E6"/>
    <w:rsid w:val="00036AB2"/>
    <w:rsid w:val="00036EFD"/>
    <w:rsid w:val="00037236"/>
    <w:rsid w:val="0004166F"/>
    <w:rsid w:val="00041900"/>
    <w:rsid w:val="00041A90"/>
    <w:rsid w:val="000421E1"/>
    <w:rsid w:val="00045B0F"/>
    <w:rsid w:val="000474E7"/>
    <w:rsid w:val="00050133"/>
    <w:rsid w:val="0005098C"/>
    <w:rsid w:val="00051C92"/>
    <w:rsid w:val="00051D8D"/>
    <w:rsid w:val="00052208"/>
    <w:rsid w:val="000522E0"/>
    <w:rsid w:val="00052CC5"/>
    <w:rsid w:val="000543D2"/>
    <w:rsid w:val="000544C5"/>
    <w:rsid w:val="00055341"/>
    <w:rsid w:val="00055690"/>
    <w:rsid w:val="00055750"/>
    <w:rsid w:val="0005600C"/>
    <w:rsid w:val="00056F44"/>
    <w:rsid w:val="000576BD"/>
    <w:rsid w:val="000601B0"/>
    <w:rsid w:val="00060279"/>
    <w:rsid w:val="00060715"/>
    <w:rsid w:val="00061BE8"/>
    <w:rsid w:val="00061E00"/>
    <w:rsid w:val="000636F9"/>
    <w:rsid w:val="00063AFE"/>
    <w:rsid w:val="00063FDF"/>
    <w:rsid w:val="000642B2"/>
    <w:rsid w:val="00064CC3"/>
    <w:rsid w:val="00067139"/>
    <w:rsid w:val="00067985"/>
    <w:rsid w:val="000679E6"/>
    <w:rsid w:val="00070E3C"/>
    <w:rsid w:val="00070E98"/>
    <w:rsid w:val="00070FA2"/>
    <w:rsid w:val="0007205D"/>
    <w:rsid w:val="0007230D"/>
    <w:rsid w:val="00072596"/>
    <w:rsid w:val="00072F38"/>
    <w:rsid w:val="0007328B"/>
    <w:rsid w:val="000738E6"/>
    <w:rsid w:val="00073E9A"/>
    <w:rsid w:val="000758C1"/>
    <w:rsid w:val="00077237"/>
    <w:rsid w:val="0007777A"/>
    <w:rsid w:val="00077922"/>
    <w:rsid w:val="0008143B"/>
    <w:rsid w:val="0008149A"/>
    <w:rsid w:val="00082562"/>
    <w:rsid w:val="00083478"/>
    <w:rsid w:val="0008559D"/>
    <w:rsid w:val="0008679D"/>
    <w:rsid w:val="00086898"/>
    <w:rsid w:val="000871C8"/>
    <w:rsid w:val="00087618"/>
    <w:rsid w:val="0008763F"/>
    <w:rsid w:val="00087999"/>
    <w:rsid w:val="00090461"/>
    <w:rsid w:val="00090B60"/>
    <w:rsid w:val="00091338"/>
    <w:rsid w:val="00091743"/>
    <w:rsid w:val="000926CD"/>
    <w:rsid w:val="00092AAE"/>
    <w:rsid w:val="00092AF2"/>
    <w:rsid w:val="00092DBD"/>
    <w:rsid w:val="000934BD"/>
    <w:rsid w:val="0009374A"/>
    <w:rsid w:val="00093E15"/>
    <w:rsid w:val="00094060"/>
    <w:rsid w:val="00094248"/>
    <w:rsid w:val="00094529"/>
    <w:rsid w:val="00094547"/>
    <w:rsid w:val="0009481F"/>
    <w:rsid w:val="00095085"/>
    <w:rsid w:val="00095FC2"/>
    <w:rsid w:val="0009649C"/>
    <w:rsid w:val="00096680"/>
    <w:rsid w:val="00096681"/>
    <w:rsid w:val="00096DC9"/>
    <w:rsid w:val="00097D90"/>
    <w:rsid w:val="000A08D2"/>
    <w:rsid w:val="000A2703"/>
    <w:rsid w:val="000A28A6"/>
    <w:rsid w:val="000A2D25"/>
    <w:rsid w:val="000A3005"/>
    <w:rsid w:val="000A37FE"/>
    <w:rsid w:val="000A3830"/>
    <w:rsid w:val="000A3A30"/>
    <w:rsid w:val="000A3CDC"/>
    <w:rsid w:val="000A3EEC"/>
    <w:rsid w:val="000A4813"/>
    <w:rsid w:val="000A5C0C"/>
    <w:rsid w:val="000A74D9"/>
    <w:rsid w:val="000A786F"/>
    <w:rsid w:val="000A7B45"/>
    <w:rsid w:val="000A7DA5"/>
    <w:rsid w:val="000B0294"/>
    <w:rsid w:val="000B121F"/>
    <w:rsid w:val="000B140C"/>
    <w:rsid w:val="000B1DF1"/>
    <w:rsid w:val="000B227A"/>
    <w:rsid w:val="000B346B"/>
    <w:rsid w:val="000B35DB"/>
    <w:rsid w:val="000B508D"/>
    <w:rsid w:val="000B57F7"/>
    <w:rsid w:val="000B611D"/>
    <w:rsid w:val="000B63DA"/>
    <w:rsid w:val="000B64FA"/>
    <w:rsid w:val="000B6F01"/>
    <w:rsid w:val="000B748F"/>
    <w:rsid w:val="000B7BC1"/>
    <w:rsid w:val="000B7D0E"/>
    <w:rsid w:val="000C0DE7"/>
    <w:rsid w:val="000C0E8D"/>
    <w:rsid w:val="000C1278"/>
    <w:rsid w:val="000C24CB"/>
    <w:rsid w:val="000C2EE7"/>
    <w:rsid w:val="000C2FAB"/>
    <w:rsid w:val="000C3C34"/>
    <w:rsid w:val="000C3EF1"/>
    <w:rsid w:val="000C3F73"/>
    <w:rsid w:val="000C422C"/>
    <w:rsid w:val="000D00A7"/>
    <w:rsid w:val="000D0537"/>
    <w:rsid w:val="000D0858"/>
    <w:rsid w:val="000D0A9B"/>
    <w:rsid w:val="000D0B85"/>
    <w:rsid w:val="000D18BD"/>
    <w:rsid w:val="000D50BC"/>
    <w:rsid w:val="000D634B"/>
    <w:rsid w:val="000D6C1A"/>
    <w:rsid w:val="000E123B"/>
    <w:rsid w:val="000E1306"/>
    <w:rsid w:val="000E3328"/>
    <w:rsid w:val="000E3FC2"/>
    <w:rsid w:val="000E458B"/>
    <w:rsid w:val="000E4A37"/>
    <w:rsid w:val="000E5940"/>
    <w:rsid w:val="000E6357"/>
    <w:rsid w:val="000E6A3E"/>
    <w:rsid w:val="000E76FD"/>
    <w:rsid w:val="000F0C9A"/>
    <w:rsid w:val="000F1047"/>
    <w:rsid w:val="000F1A1B"/>
    <w:rsid w:val="000F1FA8"/>
    <w:rsid w:val="000F21EC"/>
    <w:rsid w:val="000F22A7"/>
    <w:rsid w:val="000F2D14"/>
    <w:rsid w:val="000F30B2"/>
    <w:rsid w:val="000F4334"/>
    <w:rsid w:val="001003D4"/>
    <w:rsid w:val="00102C61"/>
    <w:rsid w:val="00102F6A"/>
    <w:rsid w:val="001031CD"/>
    <w:rsid w:val="00103377"/>
    <w:rsid w:val="00103F1B"/>
    <w:rsid w:val="00104952"/>
    <w:rsid w:val="00104F2D"/>
    <w:rsid w:val="00105F7B"/>
    <w:rsid w:val="0010613B"/>
    <w:rsid w:val="0010797D"/>
    <w:rsid w:val="00113A54"/>
    <w:rsid w:val="001144F0"/>
    <w:rsid w:val="00116747"/>
    <w:rsid w:val="00116AB9"/>
    <w:rsid w:val="001174C8"/>
    <w:rsid w:val="00120381"/>
    <w:rsid w:val="00120429"/>
    <w:rsid w:val="001210B4"/>
    <w:rsid w:val="00123A72"/>
    <w:rsid w:val="00123F76"/>
    <w:rsid w:val="0012429C"/>
    <w:rsid w:val="00124D66"/>
    <w:rsid w:val="00124EE7"/>
    <w:rsid w:val="00125391"/>
    <w:rsid w:val="00125716"/>
    <w:rsid w:val="00125A29"/>
    <w:rsid w:val="00127D57"/>
    <w:rsid w:val="00127F87"/>
    <w:rsid w:val="00130476"/>
    <w:rsid w:val="001309AE"/>
    <w:rsid w:val="00132D34"/>
    <w:rsid w:val="001331ED"/>
    <w:rsid w:val="0013431F"/>
    <w:rsid w:val="0013676E"/>
    <w:rsid w:val="00136974"/>
    <w:rsid w:val="00137F89"/>
    <w:rsid w:val="00140238"/>
    <w:rsid w:val="0014076B"/>
    <w:rsid w:val="00140C06"/>
    <w:rsid w:val="001419F7"/>
    <w:rsid w:val="0014477D"/>
    <w:rsid w:val="00145285"/>
    <w:rsid w:val="00147419"/>
    <w:rsid w:val="001479C6"/>
    <w:rsid w:val="0015045A"/>
    <w:rsid w:val="00151AA6"/>
    <w:rsid w:val="001554E6"/>
    <w:rsid w:val="00156215"/>
    <w:rsid w:val="00156519"/>
    <w:rsid w:val="00156CC6"/>
    <w:rsid w:val="0016067A"/>
    <w:rsid w:val="00161A66"/>
    <w:rsid w:val="001621F6"/>
    <w:rsid w:val="00163885"/>
    <w:rsid w:val="00165FB4"/>
    <w:rsid w:val="001664DB"/>
    <w:rsid w:val="001675B5"/>
    <w:rsid w:val="00167692"/>
    <w:rsid w:val="00167C99"/>
    <w:rsid w:val="00170325"/>
    <w:rsid w:val="00171042"/>
    <w:rsid w:val="00171A66"/>
    <w:rsid w:val="001743F4"/>
    <w:rsid w:val="001748BC"/>
    <w:rsid w:val="00174AE9"/>
    <w:rsid w:val="00174C38"/>
    <w:rsid w:val="00176974"/>
    <w:rsid w:val="001805CD"/>
    <w:rsid w:val="00180FDD"/>
    <w:rsid w:val="00181867"/>
    <w:rsid w:val="00181D55"/>
    <w:rsid w:val="0018200E"/>
    <w:rsid w:val="00182993"/>
    <w:rsid w:val="00183436"/>
    <w:rsid w:val="00183CE4"/>
    <w:rsid w:val="00183E17"/>
    <w:rsid w:val="00184679"/>
    <w:rsid w:val="00184A82"/>
    <w:rsid w:val="0018559A"/>
    <w:rsid w:val="001856B2"/>
    <w:rsid w:val="00185B1D"/>
    <w:rsid w:val="00185C4D"/>
    <w:rsid w:val="00186F1E"/>
    <w:rsid w:val="00190922"/>
    <w:rsid w:val="00190B5C"/>
    <w:rsid w:val="00190B80"/>
    <w:rsid w:val="00191690"/>
    <w:rsid w:val="00191808"/>
    <w:rsid w:val="00192B9D"/>
    <w:rsid w:val="00193669"/>
    <w:rsid w:val="00194739"/>
    <w:rsid w:val="00194ED3"/>
    <w:rsid w:val="00195D9F"/>
    <w:rsid w:val="00196ADA"/>
    <w:rsid w:val="00196C21"/>
    <w:rsid w:val="00196EC2"/>
    <w:rsid w:val="001978D7"/>
    <w:rsid w:val="001A14C2"/>
    <w:rsid w:val="001A1991"/>
    <w:rsid w:val="001A19BA"/>
    <w:rsid w:val="001A1AA6"/>
    <w:rsid w:val="001A2561"/>
    <w:rsid w:val="001A2D10"/>
    <w:rsid w:val="001A3295"/>
    <w:rsid w:val="001A46D6"/>
    <w:rsid w:val="001A481A"/>
    <w:rsid w:val="001A5995"/>
    <w:rsid w:val="001A607F"/>
    <w:rsid w:val="001A64F0"/>
    <w:rsid w:val="001A6CD8"/>
    <w:rsid w:val="001A7ED0"/>
    <w:rsid w:val="001B04EA"/>
    <w:rsid w:val="001B07DE"/>
    <w:rsid w:val="001B12D8"/>
    <w:rsid w:val="001B1536"/>
    <w:rsid w:val="001B2776"/>
    <w:rsid w:val="001B34A6"/>
    <w:rsid w:val="001B4A16"/>
    <w:rsid w:val="001B4B03"/>
    <w:rsid w:val="001B4E2D"/>
    <w:rsid w:val="001B62B8"/>
    <w:rsid w:val="001B6BE5"/>
    <w:rsid w:val="001B72CA"/>
    <w:rsid w:val="001B77A6"/>
    <w:rsid w:val="001C0BD5"/>
    <w:rsid w:val="001C12B1"/>
    <w:rsid w:val="001C14E5"/>
    <w:rsid w:val="001C150B"/>
    <w:rsid w:val="001C2C9B"/>
    <w:rsid w:val="001C2D5F"/>
    <w:rsid w:val="001C3135"/>
    <w:rsid w:val="001C37AC"/>
    <w:rsid w:val="001C49BD"/>
    <w:rsid w:val="001C563C"/>
    <w:rsid w:val="001D0C48"/>
    <w:rsid w:val="001D0C77"/>
    <w:rsid w:val="001D0E75"/>
    <w:rsid w:val="001D2180"/>
    <w:rsid w:val="001D389B"/>
    <w:rsid w:val="001D3FCA"/>
    <w:rsid w:val="001D42B8"/>
    <w:rsid w:val="001D499F"/>
    <w:rsid w:val="001D6D72"/>
    <w:rsid w:val="001D7743"/>
    <w:rsid w:val="001D7A24"/>
    <w:rsid w:val="001D7B8E"/>
    <w:rsid w:val="001D7D0C"/>
    <w:rsid w:val="001E1674"/>
    <w:rsid w:val="001E32FD"/>
    <w:rsid w:val="001E3BD8"/>
    <w:rsid w:val="001E4D7E"/>
    <w:rsid w:val="001F03F3"/>
    <w:rsid w:val="001F1060"/>
    <w:rsid w:val="001F1408"/>
    <w:rsid w:val="001F5930"/>
    <w:rsid w:val="001F639F"/>
    <w:rsid w:val="001F676A"/>
    <w:rsid w:val="001F6D6F"/>
    <w:rsid w:val="001F6EA3"/>
    <w:rsid w:val="001F7022"/>
    <w:rsid w:val="001F76FA"/>
    <w:rsid w:val="002010DD"/>
    <w:rsid w:val="00201F76"/>
    <w:rsid w:val="00203299"/>
    <w:rsid w:val="00203B10"/>
    <w:rsid w:val="00206BE2"/>
    <w:rsid w:val="0021098B"/>
    <w:rsid w:val="002132AD"/>
    <w:rsid w:val="00213F1E"/>
    <w:rsid w:val="0021418F"/>
    <w:rsid w:val="00214888"/>
    <w:rsid w:val="002177F6"/>
    <w:rsid w:val="00217AE7"/>
    <w:rsid w:val="00221714"/>
    <w:rsid w:val="002230B9"/>
    <w:rsid w:val="00223834"/>
    <w:rsid w:val="00225238"/>
    <w:rsid w:val="0022537E"/>
    <w:rsid w:val="002255BA"/>
    <w:rsid w:val="00225748"/>
    <w:rsid w:val="00226186"/>
    <w:rsid w:val="00226BA8"/>
    <w:rsid w:val="00230543"/>
    <w:rsid w:val="00231C4A"/>
    <w:rsid w:val="00231CF7"/>
    <w:rsid w:val="00232287"/>
    <w:rsid w:val="00232505"/>
    <w:rsid w:val="00233D68"/>
    <w:rsid w:val="00234058"/>
    <w:rsid w:val="002346C6"/>
    <w:rsid w:val="00235AD1"/>
    <w:rsid w:val="00240A85"/>
    <w:rsid w:val="00242AF4"/>
    <w:rsid w:val="0024319E"/>
    <w:rsid w:val="0024359C"/>
    <w:rsid w:val="00245D74"/>
    <w:rsid w:val="00246184"/>
    <w:rsid w:val="00250F1B"/>
    <w:rsid w:val="002528E4"/>
    <w:rsid w:val="00252B2D"/>
    <w:rsid w:val="002548AB"/>
    <w:rsid w:val="0025539D"/>
    <w:rsid w:val="00255C5C"/>
    <w:rsid w:val="00260C72"/>
    <w:rsid w:val="00260E4F"/>
    <w:rsid w:val="00261C8D"/>
    <w:rsid w:val="00262CB6"/>
    <w:rsid w:val="00262DB6"/>
    <w:rsid w:val="0026382C"/>
    <w:rsid w:val="00263921"/>
    <w:rsid w:val="002643CC"/>
    <w:rsid w:val="00266306"/>
    <w:rsid w:val="0027199D"/>
    <w:rsid w:val="00272AF4"/>
    <w:rsid w:val="00272E68"/>
    <w:rsid w:val="002737E7"/>
    <w:rsid w:val="00274281"/>
    <w:rsid w:val="002742F9"/>
    <w:rsid w:val="00274366"/>
    <w:rsid w:val="002757CD"/>
    <w:rsid w:val="00275A41"/>
    <w:rsid w:val="00276669"/>
    <w:rsid w:val="00276837"/>
    <w:rsid w:val="00276EA4"/>
    <w:rsid w:val="00280017"/>
    <w:rsid w:val="0028041D"/>
    <w:rsid w:val="00282BDB"/>
    <w:rsid w:val="00282E68"/>
    <w:rsid w:val="00283109"/>
    <w:rsid w:val="002845CF"/>
    <w:rsid w:val="00285FBB"/>
    <w:rsid w:val="0028682A"/>
    <w:rsid w:val="00287181"/>
    <w:rsid w:val="002874E3"/>
    <w:rsid w:val="00287731"/>
    <w:rsid w:val="00287D94"/>
    <w:rsid w:val="0029220C"/>
    <w:rsid w:val="00292EA2"/>
    <w:rsid w:val="0029316E"/>
    <w:rsid w:val="002933E1"/>
    <w:rsid w:val="00294C4F"/>
    <w:rsid w:val="00294D24"/>
    <w:rsid w:val="00295523"/>
    <w:rsid w:val="00296624"/>
    <w:rsid w:val="00296FB1"/>
    <w:rsid w:val="002972E3"/>
    <w:rsid w:val="00297E8F"/>
    <w:rsid w:val="002A089A"/>
    <w:rsid w:val="002A1487"/>
    <w:rsid w:val="002A1AA5"/>
    <w:rsid w:val="002A2083"/>
    <w:rsid w:val="002A2966"/>
    <w:rsid w:val="002A3C65"/>
    <w:rsid w:val="002A4635"/>
    <w:rsid w:val="002A4847"/>
    <w:rsid w:val="002A56DB"/>
    <w:rsid w:val="002A577C"/>
    <w:rsid w:val="002A6386"/>
    <w:rsid w:val="002A6E2F"/>
    <w:rsid w:val="002A71C0"/>
    <w:rsid w:val="002A75AF"/>
    <w:rsid w:val="002A7849"/>
    <w:rsid w:val="002A7D2B"/>
    <w:rsid w:val="002A7D57"/>
    <w:rsid w:val="002B170C"/>
    <w:rsid w:val="002B2C63"/>
    <w:rsid w:val="002B31C2"/>
    <w:rsid w:val="002B3F25"/>
    <w:rsid w:val="002B4482"/>
    <w:rsid w:val="002B54DA"/>
    <w:rsid w:val="002B5B6D"/>
    <w:rsid w:val="002B7BF3"/>
    <w:rsid w:val="002C01FB"/>
    <w:rsid w:val="002C0388"/>
    <w:rsid w:val="002C1431"/>
    <w:rsid w:val="002C18CE"/>
    <w:rsid w:val="002C3AC9"/>
    <w:rsid w:val="002C4F9A"/>
    <w:rsid w:val="002C6723"/>
    <w:rsid w:val="002C760B"/>
    <w:rsid w:val="002C7D6A"/>
    <w:rsid w:val="002D0FF1"/>
    <w:rsid w:val="002D14EA"/>
    <w:rsid w:val="002D1A1A"/>
    <w:rsid w:val="002D323E"/>
    <w:rsid w:val="002D3C4B"/>
    <w:rsid w:val="002D453D"/>
    <w:rsid w:val="002D4BC6"/>
    <w:rsid w:val="002D593A"/>
    <w:rsid w:val="002D6E07"/>
    <w:rsid w:val="002D6E3B"/>
    <w:rsid w:val="002D7C2D"/>
    <w:rsid w:val="002D7C50"/>
    <w:rsid w:val="002E1292"/>
    <w:rsid w:val="002E1C0B"/>
    <w:rsid w:val="002E20B1"/>
    <w:rsid w:val="002E238C"/>
    <w:rsid w:val="002E3184"/>
    <w:rsid w:val="002E3BE9"/>
    <w:rsid w:val="002E3FAD"/>
    <w:rsid w:val="002E4195"/>
    <w:rsid w:val="002E4458"/>
    <w:rsid w:val="002E4484"/>
    <w:rsid w:val="002E4720"/>
    <w:rsid w:val="002E485B"/>
    <w:rsid w:val="002E5E4C"/>
    <w:rsid w:val="002E6474"/>
    <w:rsid w:val="002E6AE2"/>
    <w:rsid w:val="002E7203"/>
    <w:rsid w:val="002E7842"/>
    <w:rsid w:val="002E7AF4"/>
    <w:rsid w:val="002E7BEF"/>
    <w:rsid w:val="002F0028"/>
    <w:rsid w:val="002F09B2"/>
    <w:rsid w:val="002F1563"/>
    <w:rsid w:val="002F15DC"/>
    <w:rsid w:val="002F1D6B"/>
    <w:rsid w:val="002F248B"/>
    <w:rsid w:val="002F3E8F"/>
    <w:rsid w:val="002F50CC"/>
    <w:rsid w:val="002F5B7D"/>
    <w:rsid w:val="002F6051"/>
    <w:rsid w:val="002F6C4F"/>
    <w:rsid w:val="002F72A9"/>
    <w:rsid w:val="002F7B8D"/>
    <w:rsid w:val="00301646"/>
    <w:rsid w:val="00301C13"/>
    <w:rsid w:val="00302804"/>
    <w:rsid w:val="0030328A"/>
    <w:rsid w:val="00303834"/>
    <w:rsid w:val="00303E72"/>
    <w:rsid w:val="00304739"/>
    <w:rsid w:val="00304FD4"/>
    <w:rsid w:val="00304FFF"/>
    <w:rsid w:val="00305A8A"/>
    <w:rsid w:val="00306ACF"/>
    <w:rsid w:val="003118F2"/>
    <w:rsid w:val="00312BB9"/>
    <w:rsid w:val="00313902"/>
    <w:rsid w:val="0031417F"/>
    <w:rsid w:val="00314418"/>
    <w:rsid w:val="00315319"/>
    <w:rsid w:val="00315429"/>
    <w:rsid w:val="003163D0"/>
    <w:rsid w:val="00316B2C"/>
    <w:rsid w:val="00316FAD"/>
    <w:rsid w:val="0031766E"/>
    <w:rsid w:val="0032016C"/>
    <w:rsid w:val="003201E5"/>
    <w:rsid w:val="00321CEF"/>
    <w:rsid w:val="00323102"/>
    <w:rsid w:val="0032365A"/>
    <w:rsid w:val="00323C46"/>
    <w:rsid w:val="003254BA"/>
    <w:rsid w:val="00325B45"/>
    <w:rsid w:val="00325F81"/>
    <w:rsid w:val="003261A6"/>
    <w:rsid w:val="003267FD"/>
    <w:rsid w:val="00326C12"/>
    <w:rsid w:val="00327B98"/>
    <w:rsid w:val="00330637"/>
    <w:rsid w:val="003308E4"/>
    <w:rsid w:val="00330ACD"/>
    <w:rsid w:val="003324B1"/>
    <w:rsid w:val="00332D80"/>
    <w:rsid w:val="00334831"/>
    <w:rsid w:val="00334A0F"/>
    <w:rsid w:val="00334F1A"/>
    <w:rsid w:val="00335193"/>
    <w:rsid w:val="00335BD6"/>
    <w:rsid w:val="003360D2"/>
    <w:rsid w:val="00336D4C"/>
    <w:rsid w:val="00337FED"/>
    <w:rsid w:val="00340959"/>
    <w:rsid w:val="00342313"/>
    <w:rsid w:val="00342C6A"/>
    <w:rsid w:val="003431DF"/>
    <w:rsid w:val="00343A0D"/>
    <w:rsid w:val="00344431"/>
    <w:rsid w:val="00344814"/>
    <w:rsid w:val="003448B6"/>
    <w:rsid w:val="00344A22"/>
    <w:rsid w:val="00345E8D"/>
    <w:rsid w:val="00345FF2"/>
    <w:rsid w:val="00346B3A"/>
    <w:rsid w:val="00346BCA"/>
    <w:rsid w:val="00346DE1"/>
    <w:rsid w:val="00347110"/>
    <w:rsid w:val="00347610"/>
    <w:rsid w:val="00347B49"/>
    <w:rsid w:val="003500E3"/>
    <w:rsid w:val="00350205"/>
    <w:rsid w:val="00350A34"/>
    <w:rsid w:val="00352043"/>
    <w:rsid w:val="003526A6"/>
    <w:rsid w:val="003527E3"/>
    <w:rsid w:val="0035313A"/>
    <w:rsid w:val="003541A1"/>
    <w:rsid w:val="003554C2"/>
    <w:rsid w:val="0035560A"/>
    <w:rsid w:val="003568D9"/>
    <w:rsid w:val="003574FB"/>
    <w:rsid w:val="00361681"/>
    <w:rsid w:val="0036183A"/>
    <w:rsid w:val="003625B8"/>
    <w:rsid w:val="00362BEA"/>
    <w:rsid w:val="003652F7"/>
    <w:rsid w:val="0036544B"/>
    <w:rsid w:val="0036550E"/>
    <w:rsid w:val="003663BF"/>
    <w:rsid w:val="0036720D"/>
    <w:rsid w:val="00370992"/>
    <w:rsid w:val="00371A61"/>
    <w:rsid w:val="003728AC"/>
    <w:rsid w:val="00373BDD"/>
    <w:rsid w:val="00374E7A"/>
    <w:rsid w:val="00375B32"/>
    <w:rsid w:val="00376076"/>
    <w:rsid w:val="00376706"/>
    <w:rsid w:val="00376A79"/>
    <w:rsid w:val="00376D79"/>
    <w:rsid w:val="0038018D"/>
    <w:rsid w:val="00380538"/>
    <w:rsid w:val="0038071F"/>
    <w:rsid w:val="00380D04"/>
    <w:rsid w:val="00380F61"/>
    <w:rsid w:val="003819D1"/>
    <w:rsid w:val="00383A6F"/>
    <w:rsid w:val="00383D77"/>
    <w:rsid w:val="003842DB"/>
    <w:rsid w:val="003851FB"/>
    <w:rsid w:val="003857E0"/>
    <w:rsid w:val="00386B12"/>
    <w:rsid w:val="00387278"/>
    <w:rsid w:val="003874D2"/>
    <w:rsid w:val="003878F9"/>
    <w:rsid w:val="00387F21"/>
    <w:rsid w:val="003921F9"/>
    <w:rsid w:val="003926A7"/>
    <w:rsid w:val="003927FC"/>
    <w:rsid w:val="003940AF"/>
    <w:rsid w:val="0039487E"/>
    <w:rsid w:val="00394EA2"/>
    <w:rsid w:val="0039590F"/>
    <w:rsid w:val="003969FA"/>
    <w:rsid w:val="00396E7C"/>
    <w:rsid w:val="003A19B8"/>
    <w:rsid w:val="003A1F3B"/>
    <w:rsid w:val="003A513B"/>
    <w:rsid w:val="003A5194"/>
    <w:rsid w:val="003A5DBA"/>
    <w:rsid w:val="003A61FF"/>
    <w:rsid w:val="003A7585"/>
    <w:rsid w:val="003A7881"/>
    <w:rsid w:val="003A79C4"/>
    <w:rsid w:val="003B0021"/>
    <w:rsid w:val="003B1161"/>
    <w:rsid w:val="003B17A8"/>
    <w:rsid w:val="003B214B"/>
    <w:rsid w:val="003B302F"/>
    <w:rsid w:val="003B3165"/>
    <w:rsid w:val="003B32AA"/>
    <w:rsid w:val="003B4E71"/>
    <w:rsid w:val="003C0861"/>
    <w:rsid w:val="003C0E12"/>
    <w:rsid w:val="003C3E06"/>
    <w:rsid w:val="003C4813"/>
    <w:rsid w:val="003C49A4"/>
    <w:rsid w:val="003C6545"/>
    <w:rsid w:val="003C65CF"/>
    <w:rsid w:val="003C6A05"/>
    <w:rsid w:val="003C7652"/>
    <w:rsid w:val="003C790D"/>
    <w:rsid w:val="003D104A"/>
    <w:rsid w:val="003D13EB"/>
    <w:rsid w:val="003D187D"/>
    <w:rsid w:val="003D236E"/>
    <w:rsid w:val="003D45D7"/>
    <w:rsid w:val="003D4D80"/>
    <w:rsid w:val="003D4FA3"/>
    <w:rsid w:val="003D5069"/>
    <w:rsid w:val="003D581F"/>
    <w:rsid w:val="003D5AD3"/>
    <w:rsid w:val="003D7E83"/>
    <w:rsid w:val="003E01D8"/>
    <w:rsid w:val="003E01E8"/>
    <w:rsid w:val="003E1369"/>
    <w:rsid w:val="003E2F7A"/>
    <w:rsid w:val="003E372C"/>
    <w:rsid w:val="003E479E"/>
    <w:rsid w:val="003E6DB7"/>
    <w:rsid w:val="003E6F74"/>
    <w:rsid w:val="003E78F3"/>
    <w:rsid w:val="003E7DF3"/>
    <w:rsid w:val="003E7ECC"/>
    <w:rsid w:val="003F00AF"/>
    <w:rsid w:val="003F14FD"/>
    <w:rsid w:val="003F1805"/>
    <w:rsid w:val="003F1CDF"/>
    <w:rsid w:val="003F2866"/>
    <w:rsid w:val="003F4CDA"/>
    <w:rsid w:val="003F538D"/>
    <w:rsid w:val="003F574D"/>
    <w:rsid w:val="003F5866"/>
    <w:rsid w:val="003F6BAD"/>
    <w:rsid w:val="003F6D97"/>
    <w:rsid w:val="003F6FE3"/>
    <w:rsid w:val="004011C0"/>
    <w:rsid w:val="00401B3C"/>
    <w:rsid w:val="00404782"/>
    <w:rsid w:val="00405564"/>
    <w:rsid w:val="00405CB6"/>
    <w:rsid w:val="00405E00"/>
    <w:rsid w:val="00406B61"/>
    <w:rsid w:val="00407D80"/>
    <w:rsid w:val="004112C4"/>
    <w:rsid w:val="00411751"/>
    <w:rsid w:val="00411CF7"/>
    <w:rsid w:val="00412520"/>
    <w:rsid w:val="004128AA"/>
    <w:rsid w:val="0041377F"/>
    <w:rsid w:val="004151E6"/>
    <w:rsid w:val="00416E45"/>
    <w:rsid w:val="00417365"/>
    <w:rsid w:val="0041783E"/>
    <w:rsid w:val="004179FC"/>
    <w:rsid w:val="00417C0D"/>
    <w:rsid w:val="00420BD2"/>
    <w:rsid w:val="00421E2A"/>
    <w:rsid w:val="00422546"/>
    <w:rsid w:val="004227A5"/>
    <w:rsid w:val="00423111"/>
    <w:rsid w:val="00423C4C"/>
    <w:rsid w:val="00426684"/>
    <w:rsid w:val="00431CC6"/>
    <w:rsid w:val="0043292E"/>
    <w:rsid w:val="004335D7"/>
    <w:rsid w:val="00435079"/>
    <w:rsid w:val="00435D29"/>
    <w:rsid w:val="00435FCB"/>
    <w:rsid w:val="00436741"/>
    <w:rsid w:val="004367DF"/>
    <w:rsid w:val="00437327"/>
    <w:rsid w:val="00437F5C"/>
    <w:rsid w:val="004406AA"/>
    <w:rsid w:val="004421EF"/>
    <w:rsid w:val="00443ECC"/>
    <w:rsid w:val="0044608F"/>
    <w:rsid w:val="00446125"/>
    <w:rsid w:val="004464F2"/>
    <w:rsid w:val="0045020A"/>
    <w:rsid w:val="0045075C"/>
    <w:rsid w:val="00450DA5"/>
    <w:rsid w:val="00451808"/>
    <w:rsid w:val="00451BB7"/>
    <w:rsid w:val="004551C8"/>
    <w:rsid w:val="00456C42"/>
    <w:rsid w:val="00456D70"/>
    <w:rsid w:val="00457B5A"/>
    <w:rsid w:val="00461628"/>
    <w:rsid w:val="00461A76"/>
    <w:rsid w:val="0046214D"/>
    <w:rsid w:val="004624FE"/>
    <w:rsid w:val="00462F93"/>
    <w:rsid w:val="00463328"/>
    <w:rsid w:val="00463849"/>
    <w:rsid w:val="00464303"/>
    <w:rsid w:val="004645B7"/>
    <w:rsid w:val="00464B98"/>
    <w:rsid w:val="00464EA7"/>
    <w:rsid w:val="00466119"/>
    <w:rsid w:val="0046747F"/>
    <w:rsid w:val="004676AE"/>
    <w:rsid w:val="004702BD"/>
    <w:rsid w:val="00470546"/>
    <w:rsid w:val="00470CC6"/>
    <w:rsid w:val="004716EE"/>
    <w:rsid w:val="00472CA2"/>
    <w:rsid w:val="004737CA"/>
    <w:rsid w:val="00475723"/>
    <w:rsid w:val="00475BB4"/>
    <w:rsid w:val="00475EBE"/>
    <w:rsid w:val="00476877"/>
    <w:rsid w:val="004776E2"/>
    <w:rsid w:val="00477835"/>
    <w:rsid w:val="00480012"/>
    <w:rsid w:val="00481211"/>
    <w:rsid w:val="004817E9"/>
    <w:rsid w:val="00481A57"/>
    <w:rsid w:val="00481ABB"/>
    <w:rsid w:val="00481FD3"/>
    <w:rsid w:val="00482C24"/>
    <w:rsid w:val="00482CBB"/>
    <w:rsid w:val="00482DB8"/>
    <w:rsid w:val="00482F82"/>
    <w:rsid w:val="004830C2"/>
    <w:rsid w:val="0048478E"/>
    <w:rsid w:val="0048480C"/>
    <w:rsid w:val="004855EF"/>
    <w:rsid w:val="004856F0"/>
    <w:rsid w:val="004864FE"/>
    <w:rsid w:val="00486ADA"/>
    <w:rsid w:val="00487871"/>
    <w:rsid w:val="00487FF5"/>
    <w:rsid w:val="00490789"/>
    <w:rsid w:val="00490DC1"/>
    <w:rsid w:val="00491C13"/>
    <w:rsid w:val="00492121"/>
    <w:rsid w:val="00494067"/>
    <w:rsid w:val="00494516"/>
    <w:rsid w:val="00494FD4"/>
    <w:rsid w:val="00495FE1"/>
    <w:rsid w:val="004963E8"/>
    <w:rsid w:val="00496AA1"/>
    <w:rsid w:val="00496C65"/>
    <w:rsid w:val="004971FE"/>
    <w:rsid w:val="00497905"/>
    <w:rsid w:val="004A1076"/>
    <w:rsid w:val="004A3FC7"/>
    <w:rsid w:val="004A4762"/>
    <w:rsid w:val="004A4872"/>
    <w:rsid w:val="004A5A37"/>
    <w:rsid w:val="004A5D75"/>
    <w:rsid w:val="004A6FD0"/>
    <w:rsid w:val="004B187D"/>
    <w:rsid w:val="004B1982"/>
    <w:rsid w:val="004B1E2C"/>
    <w:rsid w:val="004B2AE5"/>
    <w:rsid w:val="004B30DE"/>
    <w:rsid w:val="004B3231"/>
    <w:rsid w:val="004B4BCB"/>
    <w:rsid w:val="004B5141"/>
    <w:rsid w:val="004B75E4"/>
    <w:rsid w:val="004C02E5"/>
    <w:rsid w:val="004C16DF"/>
    <w:rsid w:val="004C18C5"/>
    <w:rsid w:val="004C1C31"/>
    <w:rsid w:val="004C2656"/>
    <w:rsid w:val="004C2BD9"/>
    <w:rsid w:val="004C3034"/>
    <w:rsid w:val="004C3618"/>
    <w:rsid w:val="004C3763"/>
    <w:rsid w:val="004C3CFA"/>
    <w:rsid w:val="004C43EC"/>
    <w:rsid w:val="004C4535"/>
    <w:rsid w:val="004C4BED"/>
    <w:rsid w:val="004C4E56"/>
    <w:rsid w:val="004C5298"/>
    <w:rsid w:val="004C5DD0"/>
    <w:rsid w:val="004C757F"/>
    <w:rsid w:val="004C7850"/>
    <w:rsid w:val="004C79F7"/>
    <w:rsid w:val="004D0206"/>
    <w:rsid w:val="004D083C"/>
    <w:rsid w:val="004D09BF"/>
    <w:rsid w:val="004D10D7"/>
    <w:rsid w:val="004D1150"/>
    <w:rsid w:val="004D2093"/>
    <w:rsid w:val="004D2467"/>
    <w:rsid w:val="004D2A5C"/>
    <w:rsid w:val="004D3116"/>
    <w:rsid w:val="004D3118"/>
    <w:rsid w:val="004D388E"/>
    <w:rsid w:val="004D441C"/>
    <w:rsid w:val="004D4B8A"/>
    <w:rsid w:val="004D62C0"/>
    <w:rsid w:val="004D631A"/>
    <w:rsid w:val="004D762A"/>
    <w:rsid w:val="004D7E29"/>
    <w:rsid w:val="004E054C"/>
    <w:rsid w:val="004E2251"/>
    <w:rsid w:val="004E2414"/>
    <w:rsid w:val="004E26F6"/>
    <w:rsid w:val="004E2C73"/>
    <w:rsid w:val="004E3C37"/>
    <w:rsid w:val="004E4B60"/>
    <w:rsid w:val="004E5638"/>
    <w:rsid w:val="004E66AC"/>
    <w:rsid w:val="004E722E"/>
    <w:rsid w:val="004E72CD"/>
    <w:rsid w:val="004E7E0B"/>
    <w:rsid w:val="004F0FE7"/>
    <w:rsid w:val="004F13FA"/>
    <w:rsid w:val="004F294D"/>
    <w:rsid w:val="004F2EE0"/>
    <w:rsid w:val="004F3E1D"/>
    <w:rsid w:val="004F471F"/>
    <w:rsid w:val="004F4ACA"/>
    <w:rsid w:val="004F4B90"/>
    <w:rsid w:val="004F5158"/>
    <w:rsid w:val="004F5F6F"/>
    <w:rsid w:val="004F64B6"/>
    <w:rsid w:val="004F6865"/>
    <w:rsid w:val="004F76C7"/>
    <w:rsid w:val="004F7FF4"/>
    <w:rsid w:val="00500AFB"/>
    <w:rsid w:val="00500CD7"/>
    <w:rsid w:val="00500D10"/>
    <w:rsid w:val="005025BA"/>
    <w:rsid w:val="00502C52"/>
    <w:rsid w:val="00503375"/>
    <w:rsid w:val="00503D67"/>
    <w:rsid w:val="0050468A"/>
    <w:rsid w:val="00504AE6"/>
    <w:rsid w:val="00505073"/>
    <w:rsid w:val="00506F80"/>
    <w:rsid w:val="00507BB2"/>
    <w:rsid w:val="00510BE5"/>
    <w:rsid w:val="00510EA2"/>
    <w:rsid w:val="00511200"/>
    <w:rsid w:val="00511CFA"/>
    <w:rsid w:val="00512DFC"/>
    <w:rsid w:val="00513B44"/>
    <w:rsid w:val="005142AD"/>
    <w:rsid w:val="005145DD"/>
    <w:rsid w:val="005149F2"/>
    <w:rsid w:val="005166EF"/>
    <w:rsid w:val="00520A7F"/>
    <w:rsid w:val="00520EA4"/>
    <w:rsid w:val="0052105B"/>
    <w:rsid w:val="00521BEE"/>
    <w:rsid w:val="00522011"/>
    <w:rsid w:val="00522832"/>
    <w:rsid w:val="00523954"/>
    <w:rsid w:val="005245B1"/>
    <w:rsid w:val="0052571A"/>
    <w:rsid w:val="00525982"/>
    <w:rsid w:val="00525A79"/>
    <w:rsid w:val="00526428"/>
    <w:rsid w:val="00526717"/>
    <w:rsid w:val="0052733C"/>
    <w:rsid w:val="00527B7D"/>
    <w:rsid w:val="005308AF"/>
    <w:rsid w:val="005314CB"/>
    <w:rsid w:val="005318F6"/>
    <w:rsid w:val="0053210E"/>
    <w:rsid w:val="00532B96"/>
    <w:rsid w:val="005337F6"/>
    <w:rsid w:val="00534B6D"/>
    <w:rsid w:val="00535189"/>
    <w:rsid w:val="00535BAC"/>
    <w:rsid w:val="0053616C"/>
    <w:rsid w:val="00537360"/>
    <w:rsid w:val="00537588"/>
    <w:rsid w:val="00540CA9"/>
    <w:rsid w:val="00540CE0"/>
    <w:rsid w:val="00541523"/>
    <w:rsid w:val="005416AC"/>
    <w:rsid w:val="0054417B"/>
    <w:rsid w:val="0054434C"/>
    <w:rsid w:val="005443DC"/>
    <w:rsid w:val="00544B8B"/>
    <w:rsid w:val="005454BB"/>
    <w:rsid w:val="0054556C"/>
    <w:rsid w:val="00545651"/>
    <w:rsid w:val="00545B53"/>
    <w:rsid w:val="00547B7B"/>
    <w:rsid w:val="00550BE3"/>
    <w:rsid w:val="0055262A"/>
    <w:rsid w:val="00553734"/>
    <w:rsid w:val="005546EA"/>
    <w:rsid w:val="00554CA8"/>
    <w:rsid w:val="0055552D"/>
    <w:rsid w:val="00555F70"/>
    <w:rsid w:val="005561E3"/>
    <w:rsid w:val="00556564"/>
    <w:rsid w:val="00556921"/>
    <w:rsid w:val="00556C7B"/>
    <w:rsid w:val="0055765B"/>
    <w:rsid w:val="00557BCD"/>
    <w:rsid w:val="005601FC"/>
    <w:rsid w:val="0056058D"/>
    <w:rsid w:val="0056066A"/>
    <w:rsid w:val="00561B72"/>
    <w:rsid w:val="005632B3"/>
    <w:rsid w:val="00563F23"/>
    <w:rsid w:val="0056735C"/>
    <w:rsid w:val="00567C7C"/>
    <w:rsid w:val="00567CD5"/>
    <w:rsid w:val="00567DFF"/>
    <w:rsid w:val="00570B8A"/>
    <w:rsid w:val="00571435"/>
    <w:rsid w:val="005728AF"/>
    <w:rsid w:val="0057313C"/>
    <w:rsid w:val="00573523"/>
    <w:rsid w:val="00573610"/>
    <w:rsid w:val="00573CCE"/>
    <w:rsid w:val="00575A10"/>
    <w:rsid w:val="00576150"/>
    <w:rsid w:val="00576246"/>
    <w:rsid w:val="00576750"/>
    <w:rsid w:val="0058030D"/>
    <w:rsid w:val="00580422"/>
    <w:rsid w:val="00581834"/>
    <w:rsid w:val="00581F4E"/>
    <w:rsid w:val="0058209F"/>
    <w:rsid w:val="00582595"/>
    <w:rsid w:val="005832B5"/>
    <w:rsid w:val="005839D2"/>
    <w:rsid w:val="005840EC"/>
    <w:rsid w:val="00584D08"/>
    <w:rsid w:val="005869B3"/>
    <w:rsid w:val="00587D7F"/>
    <w:rsid w:val="005902C4"/>
    <w:rsid w:val="00590441"/>
    <w:rsid w:val="00590618"/>
    <w:rsid w:val="005911E7"/>
    <w:rsid w:val="00591F76"/>
    <w:rsid w:val="00592809"/>
    <w:rsid w:val="00593099"/>
    <w:rsid w:val="00593A39"/>
    <w:rsid w:val="00594902"/>
    <w:rsid w:val="00596DF3"/>
    <w:rsid w:val="00596EBC"/>
    <w:rsid w:val="005A2992"/>
    <w:rsid w:val="005A371B"/>
    <w:rsid w:val="005A4F46"/>
    <w:rsid w:val="005A51CD"/>
    <w:rsid w:val="005A6465"/>
    <w:rsid w:val="005A6DB5"/>
    <w:rsid w:val="005A7BD3"/>
    <w:rsid w:val="005B0011"/>
    <w:rsid w:val="005B04AB"/>
    <w:rsid w:val="005B22DF"/>
    <w:rsid w:val="005B25B8"/>
    <w:rsid w:val="005B34EE"/>
    <w:rsid w:val="005B4D33"/>
    <w:rsid w:val="005B52FB"/>
    <w:rsid w:val="005B62E8"/>
    <w:rsid w:val="005B7626"/>
    <w:rsid w:val="005C11E4"/>
    <w:rsid w:val="005C270A"/>
    <w:rsid w:val="005C2753"/>
    <w:rsid w:val="005C2EA0"/>
    <w:rsid w:val="005C3017"/>
    <w:rsid w:val="005C375B"/>
    <w:rsid w:val="005C3C8F"/>
    <w:rsid w:val="005C3DA3"/>
    <w:rsid w:val="005C3FF5"/>
    <w:rsid w:val="005C43DB"/>
    <w:rsid w:val="005C47B7"/>
    <w:rsid w:val="005C49EC"/>
    <w:rsid w:val="005C4B0B"/>
    <w:rsid w:val="005C4DBB"/>
    <w:rsid w:val="005C507A"/>
    <w:rsid w:val="005C555F"/>
    <w:rsid w:val="005C58B8"/>
    <w:rsid w:val="005C7938"/>
    <w:rsid w:val="005D02B0"/>
    <w:rsid w:val="005D040A"/>
    <w:rsid w:val="005D19FE"/>
    <w:rsid w:val="005D1CEF"/>
    <w:rsid w:val="005D2712"/>
    <w:rsid w:val="005D2732"/>
    <w:rsid w:val="005D2B0D"/>
    <w:rsid w:val="005D34E4"/>
    <w:rsid w:val="005D3A98"/>
    <w:rsid w:val="005D4C8A"/>
    <w:rsid w:val="005D63EA"/>
    <w:rsid w:val="005D6595"/>
    <w:rsid w:val="005D7FB8"/>
    <w:rsid w:val="005E0D8E"/>
    <w:rsid w:val="005E0DD0"/>
    <w:rsid w:val="005E111B"/>
    <w:rsid w:val="005E11C7"/>
    <w:rsid w:val="005E19AE"/>
    <w:rsid w:val="005E1E27"/>
    <w:rsid w:val="005E20C0"/>
    <w:rsid w:val="005E2138"/>
    <w:rsid w:val="005E2172"/>
    <w:rsid w:val="005E3CE4"/>
    <w:rsid w:val="005E4CFF"/>
    <w:rsid w:val="005E4E4A"/>
    <w:rsid w:val="005E4F84"/>
    <w:rsid w:val="005E5FEF"/>
    <w:rsid w:val="005E6D61"/>
    <w:rsid w:val="005E6EAC"/>
    <w:rsid w:val="005E795C"/>
    <w:rsid w:val="005E7C99"/>
    <w:rsid w:val="005F0C8D"/>
    <w:rsid w:val="005F1129"/>
    <w:rsid w:val="005F31D6"/>
    <w:rsid w:val="005F3523"/>
    <w:rsid w:val="005F7105"/>
    <w:rsid w:val="006009AA"/>
    <w:rsid w:val="00601C67"/>
    <w:rsid w:val="00602AEB"/>
    <w:rsid w:val="006035A2"/>
    <w:rsid w:val="006041E5"/>
    <w:rsid w:val="0060453F"/>
    <w:rsid w:val="0060556D"/>
    <w:rsid w:val="00605D45"/>
    <w:rsid w:val="00607209"/>
    <w:rsid w:val="00607213"/>
    <w:rsid w:val="00607CEC"/>
    <w:rsid w:val="0061069E"/>
    <w:rsid w:val="00611DA2"/>
    <w:rsid w:val="0061245B"/>
    <w:rsid w:val="006124E4"/>
    <w:rsid w:val="00612BDB"/>
    <w:rsid w:val="00612CC6"/>
    <w:rsid w:val="00613926"/>
    <w:rsid w:val="00613CE6"/>
    <w:rsid w:val="00613DF8"/>
    <w:rsid w:val="006144A1"/>
    <w:rsid w:val="0061488E"/>
    <w:rsid w:val="006151B6"/>
    <w:rsid w:val="00615A54"/>
    <w:rsid w:val="00616E14"/>
    <w:rsid w:val="00616F33"/>
    <w:rsid w:val="0061753A"/>
    <w:rsid w:val="00617B79"/>
    <w:rsid w:val="00620B53"/>
    <w:rsid w:val="00620ED4"/>
    <w:rsid w:val="006215B9"/>
    <w:rsid w:val="00621D55"/>
    <w:rsid w:val="006230FF"/>
    <w:rsid w:val="00623E1E"/>
    <w:rsid w:val="00624147"/>
    <w:rsid w:val="006249ED"/>
    <w:rsid w:val="0062691E"/>
    <w:rsid w:val="00627E40"/>
    <w:rsid w:val="006302DA"/>
    <w:rsid w:val="00630601"/>
    <w:rsid w:val="00630A83"/>
    <w:rsid w:val="00631612"/>
    <w:rsid w:val="00633BAC"/>
    <w:rsid w:val="00634389"/>
    <w:rsid w:val="00634BCB"/>
    <w:rsid w:val="00634DE0"/>
    <w:rsid w:val="00635605"/>
    <w:rsid w:val="00635951"/>
    <w:rsid w:val="00635B87"/>
    <w:rsid w:val="0063632C"/>
    <w:rsid w:val="00640071"/>
    <w:rsid w:val="006411F2"/>
    <w:rsid w:val="00642F4D"/>
    <w:rsid w:val="006432D3"/>
    <w:rsid w:val="00643742"/>
    <w:rsid w:val="006438CB"/>
    <w:rsid w:val="006438E1"/>
    <w:rsid w:val="0064498C"/>
    <w:rsid w:val="00644F1F"/>
    <w:rsid w:val="0064558E"/>
    <w:rsid w:val="00645977"/>
    <w:rsid w:val="00645DCA"/>
    <w:rsid w:val="00646437"/>
    <w:rsid w:val="00646570"/>
    <w:rsid w:val="006476A0"/>
    <w:rsid w:val="0064776E"/>
    <w:rsid w:val="00647CC2"/>
    <w:rsid w:val="006504F6"/>
    <w:rsid w:val="006508F8"/>
    <w:rsid w:val="00651152"/>
    <w:rsid w:val="00651A64"/>
    <w:rsid w:val="00654A02"/>
    <w:rsid w:val="00655276"/>
    <w:rsid w:val="00655805"/>
    <w:rsid w:val="0065611B"/>
    <w:rsid w:val="00657D32"/>
    <w:rsid w:val="00661D36"/>
    <w:rsid w:val="006629E5"/>
    <w:rsid w:val="00664643"/>
    <w:rsid w:val="0066479A"/>
    <w:rsid w:val="006649FF"/>
    <w:rsid w:val="0066606B"/>
    <w:rsid w:val="0067050A"/>
    <w:rsid w:val="00670A71"/>
    <w:rsid w:val="006711A5"/>
    <w:rsid w:val="00671BA2"/>
    <w:rsid w:val="006722F8"/>
    <w:rsid w:val="006729C2"/>
    <w:rsid w:val="00672E18"/>
    <w:rsid w:val="00672EDB"/>
    <w:rsid w:val="006736D6"/>
    <w:rsid w:val="00675471"/>
    <w:rsid w:val="00675EA1"/>
    <w:rsid w:val="00676259"/>
    <w:rsid w:val="00681722"/>
    <w:rsid w:val="006838D8"/>
    <w:rsid w:val="00684167"/>
    <w:rsid w:val="00685322"/>
    <w:rsid w:val="0068595D"/>
    <w:rsid w:val="0068632C"/>
    <w:rsid w:val="00686838"/>
    <w:rsid w:val="00686B93"/>
    <w:rsid w:val="00686D69"/>
    <w:rsid w:val="00686F37"/>
    <w:rsid w:val="0068744C"/>
    <w:rsid w:val="006879B2"/>
    <w:rsid w:val="006905AB"/>
    <w:rsid w:val="00690C92"/>
    <w:rsid w:val="00691E97"/>
    <w:rsid w:val="0069212D"/>
    <w:rsid w:val="00692CB0"/>
    <w:rsid w:val="00693D71"/>
    <w:rsid w:val="00694885"/>
    <w:rsid w:val="006953D1"/>
    <w:rsid w:val="00695665"/>
    <w:rsid w:val="00695E4D"/>
    <w:rsid w:val="006965C2"/>
    <w:rsid w:val="00696B98"/>
    <w:rsid w:val="00697809"/>
    <w:rsid w:val="006A1E92"/>
    <w:rsid w:val="006A3676"/>
    <w:rsid w:val="006A3BE6"/>
    <w:rsid w:val="006A467B"/>
    <w:rsid w:val="006A4A2F"/>
    <w:rsid w:val="006A66BA"/>
    <w:rsid w:val="006A79B7"/>
    <w:rsid w:val="006B13A9"/>
    <w:rsid w:val="006B3DD5"/>
    <w:rsid w:val="006B43A4"/>
    <w:rsid w:val="006B51FF"/>
    <w:rsid w:val="006B5E67"/>
    <w:rsid w:val="006B64A5"/>
    <w:rsid w:val="006B7951"/>
    <w:rsid w:val="006C08FE"/>
    <w:rsid w:val="006C0ADE"/>
    <w:rsid w:val="006C0B3B"/>
    <w:rsid w:val="006C1BAC"/>
    <w:rsid w:val="006C1DDB"/>
    <w:rsid w:val="006C1E27"/>
    <w:rsid w:val="006C24F4"/>
    <w:rsid w:val="006C2905"/>
    <w:rsid w:val="006C4124"/>
    <w:rsid w:val="006C465F"/>
    <w:rsid w:val="006C472F"/>
    <w:rsid w:val="006C52C7"/>
    <w:rsid w:val="006C611C"/>
    <w:rsid w:val="006C62BF"/>
    <w:rsid w:val="006C6D95"/>
    <w:rsid w:val="006D03CA"/>
    <w:rsid w:val="006D1042"/>
    <w:rsid w:val="006D1106"/>
    <w:rsid w:val="006D1212"/>
    <w:rsid w:val="006D1341"/>
    <w:rsid w:val="006D25E1"/>
    <w:rsid w:val="006D3E6C"/>
    <w:rsid w:val="006D42FF"/>
    <w:rsid w:val="006D488B"/>
    <w:rsid w:val="006D52B9"/>
    <w:rsid w:val="006D5C09"/>
    <w:rsid w:val="006D5CB3"/>
    <w:rsid w:val="006E03CF"/>
    <w:rsid w:val="006E0670"/>
    <w:rsid w:val="006E1CEF"/>
    <w:rsid w:val="006E23A1"/>
    <w:rsid w:val="006E2543"/>
    <w:rsid w:val="006E2EEC"/>
    <w:rsid w:val="006E3163"/>
    <w:rsid w:val="006E4977"/>
    <w:rsid w:val="006E64BB"/>
    <w:rsid w:val="006E6720"/>
    <w:rsid w:val="006E78B2"/>
    <w:rsid w:val="006F1981"/>
    <w:rsid w:val="006F1B8B"/>
    <w:rsid w:val="006F1E52"/>
    <w:rsid w:val="006F2172"/>
    <w:rsid w:val="006F28F5"/>
    <w:rsid w:val="006F3FA1"/>
    <w:rsid w:val="006F4A83"/>
    <w:rsid w:val="006F5B3E"/>
    <w:rsid w:val="006F6E8F"/>
    <w:rsid w:val="006F7A43"/>
    <w:rsid w:val="006F7E72"/>
    <w:rsid w:val="007004B2"/>
    <w:rsid w:val="00700553"/>
    <w:rsid w:val="00701172"/>
    <w:rsid w:val="00702E4C"/>
    <w:rsid w:val="00702F57"/>
    <w:rsid w:val="00704804"/>
    <w:rsid w:val="00704D60"/>
    <w:rsid w:val="00705152"/>
    <w:rsid w:val="00705176"/>
    <w:rsid w:val="00710CD7"/>
    <w:rsid w:val="0071138C"/>
    <w:rsid w:val="00712E21"/>
    <w:rsid w:val="007135FF"/>
    <w:rsid w:val="007142A2"/>
    <w:rsid w:val="0071458F"/>
    <w:rsid w:val="00714735"/>
    <w:rsid w:val="00714920"/>
    <w:rsid w:val="00714ACC"/>
    <w:rsid w:val="00715E7C"/>
    <w:rsid w:val="00716BBD"/>
    <w:rsid w:val="007176C0"/>
    <w:rsid w:val="00717840"/>
    <w:rsid w:val="00720067"/>
    <w:rsid w:val="00720913"/>
    <w:rsid w:val="007216AF"/>
    <w:rsid w:val="0072355F"/>
    <w:rsid w:val="00724CAD"/>
    <w:rsid w:val="0072521C"/>
    <w:rsid w:val="00725259"/>
    <w:rsid w:val="00725BB0"/>
    <w:rsid w:val="00726162"/>
    <w:rsid w:val="007263EF"/>
    <w:rsid w:val="00726494"/>
    <w:rsid w:val="007307AA"/>
    <w:rsid w:val="007314C7"/>
    <w:rsid w:val="00733136"/>
    <w:rsid w:val="00733B08"/>
    <w:rsid w:val="00734B24"/>
    <w:rsid w:val="00735007"/>
    <w:rsid w:val="00736045"/>
    <w:rsid w:val="00736703"/>
    <w:rsid w:val="007368CB"/>
    <w:rsid w:val="00736BE7"/>
    <w:rsid w:val="00737909"/>
    <w:rsid w:val="00737BA2"/>
    <w:rsid w:val="007404C4"/>
    <w:rsid w:val="0074063A"/>
    <w:rsid w:val="00740A12"/>
    <w:rsid w:val="00740C65"/>
    <w:rsid w:val="00742992"/>
    <w:rsid w:val="00742ACA"/>
    <w:rsid w:val="00742CC5"/>
    <w:rsid w:val="00744048"/>
    <w:rsid w:val="00744BA5"/>
    <w:rsid w:val="007456FC"/>
    <w:rsid w:val="00746CFA"/>
    <w:rsid w:val="0074797C"/>
    <w:rsid w:val="007501EF"/>
    <w:rsid w:val="0075128A"/>
    <w:rsid w:val="0075157C"/>
    <w:rsid w:val="00751701"/>
    <w:rsid w:val="00752234"/>
    <w:rsid w:val="00752756"/>
    <w:rsid w:val="007528F6"/>
    <w:rsid w:val="00752B13"/>
    <w:rsid w:val="00752BBC"/>
    <w:rsid w:val="007532D1"/>
    <w:rsid w:val="00753BF5"/>
    <w:rsid w:val="00753F6C"/>
    <w:rsid w:val="00755631"/>
    <w:rsid w:val="00755635"/>
    <w:rsid w:val="00756883"/>
    <w:rsid w:val="00756902"/>
    <w:rsid w:val="00756F24"/>
    <w:rsid w:val="007570B6"/>
    <w:rsid w:val="00757105"/>
    <w:rsid w:val="00757DF8"/>
    <w:rsid w:val="0076035C"/>
    <w:rsid w:val="00760B62"/>
    <w:rsid w:val="00760E18"/>
    <w:rsid w:val="007614E9"/>
    <w:rsid w:val="0076155D"/>
    <w:rsid w:val="00761ED7"/>
    <w:rsid w:val="00762508"/>
    <w:rsid w:val="00763439"/>
    <w:rsid w:val="00764753"/>
    <w:rsid w:val="00765C31"/>
    <w:rsid w:val="007670A0"/>
    <w:rsid w:val="00767D40"/>
    <w:rsid w:val="00770047"/>
    <w:rsid w:val="007705B7"/>
    <w:rsid w:val="0077260F"/>
    <w:rsid w:val="00774C1B"/>
    <w:rsid w:val="00774F69"/>
    <w:rsid w:val="007764BB"/>
    <w:rsid w:val="00780322"/>
    <w:rsid w:val="00781C84"/>
    <w:rsid w:val="0078363C"/>
    <w:rsid w:val="00784491"/>
    <w:rsid w:val="007846E7"/>
    <w:rsid w:val="00785083"/>
    <w:rsid w:val="00785B41"/>
    <w:rsid w:val="00786A54"/>
    <w:rsid w:val="00786E3E"/>
    <w:rsid w:val="00787173"/>
    <w:rsid w:val="00787AFC"/>
    <w:rsid w:val="007906D7"/>
    <w:rsid w:val="00790EDF"/>
    <w:rsid w:val="00791103"/>
    <w:rsid w:val="00792F15"/>
    <w:rsid w:val="007932A4"/>
    <w:rsid w:val="00793736"/>
    <w:rsid w:val="007942BE"/>
    <w:rsid w:val="00794FF2"/>
    <w:rsid w:val="00797BB8"/>
    <w:rsid w:val="007A08E4"/>
    <w:rsid w:val="007A1852"/>
    <w:rsid w:val="007A1B8F"/>
    <w:rsid w:val="007A2A81"/>
    <w:rsid w:val="007A3010"/>
    <w:rsid w:val="007A30B6"/>
    <w:rsid w:val="007A48F5"/>
    <w:rsid w:val="007A4D5B"/>
    <w:rsid w:val="007A4F63"/>
    <w:rsid w:val="007A582D"/>
    <w:rsid w:val="007A63D7"/>
    <w:rsid w:val="007A6A91"/>
    <w:rsid w:val="007A6C27"/>
    <w:rsid w:val="007A7355"/>
    <w:rsid w:val="007A77C0"/>
    <w:rsid w:val="007A7881"/>
    <w:rsid w:val="007A7A81"/>
    <w:rsid w:val="007B2248"/>
    <w:rsid w:val="007B27AC"/>
    <w:rsid w:val="007B31E4"/>
    <w:rsid w:val="007B397A"/>
    <w:rsid w:val="007B484B"/>
    <w:rsid w:val="007B48FB"/>
    <w:rsid w:val="007B5BA8"/>
    <w:rsid w:val="007B63D6"/>
    <w:rsid w:val="007C2B4F"/>
    <w:rsid w:val="007C38F5"/>
    <w:rsid w:val="007C3A4F"/>
    <w:rsid w:val="007C62D0"/>
    <w:rsid w:val="007C62E1"/>
    <w:rsid w:val="007C6E3B"/>
    <w:rsid w:val="007C7074"/>
    <w:rsid w:val="007C74CF"/>
    <w:rsid w:val="007D050D"/>
    <w:rsid w:val="007D1A3D"/>
    <w:rsid w:val="007D38F9"/>
    <w:rsid w:val="007D395E"/>
    <w:rsid w:val="007D3C12"/>
    <w:rsid w:val="007D3F4D"/>
    <w:rsid w:val="007D411B"/>
    <w:rsid w:val="007D5CBC"/>
    <w:rsid w:val="007D6534"/>
    <w:rsid w:val="007D6A51"/>
    <w:rsid w:val="007D7DFF"/>
    <w:rsid w:val="007E26FF"/>
    <w:rsid w:val="007E3303"/>
    <w:rsid w:val="007E38BF"/>
    <w:rsid w:val="007E3BE2"/>
    <w:rsid w:val="007E4170"/>
    <w:rsid w:val="007E50F1"/>
    <w:rsid w:val="007E5725"/>
    <w:rsid w:val="007E599D"/>
    <w:rsid w:val="007E5F0E"/>
    <w:rsid w:val="007E6360"/>
    <w:rsid w:val="007E63BC"/>
    <w:rsid w:val="007E7040"/>
    <w:rsid w:val="007E7F25"/>
    <w:rsid w:val="007F1AA9"/>
    <w:rsid w:val="007F3AA7"/>
    <w:rsid w:val="007F3F83"/>
    <w:rsid w:val="007F6E05"/>
    <w:rsid w:val="007F6E7B"/>
    <w:rsid w:val="007F768C"/>
    <w:rsid w:val="007F7C13"/>
    <w:rsid w:val="00800CC8"/>
    <w:rsid w:val="00800F17"/>
    <w:rsid w:val="00801566"/>
    <w:rsid w:val="00801C06"/>
    <w:rsid w:val="00802D08"/>
    <w:rsid w:val="0080483A"/>
    <w:rsid w:val="008064FD"/>
    <w:rsid w:val="00806EC1"/>
    <w:rsid w:val="0080768A"/>
    <w:rsid w:val="0081034B"/>
    <w:rsid w:val="00810D01"/>
    <w:rsid w:val="00811B51"/>
    <w:rsid w:val="00811F16"/>
    <w:rsid w:val="00812051"/>
    <w:rsid w:val="00812D3D"/>
    <w:rsid w:val="00814176"/>
    <w:rsid w:val="008148D7"/>
    <w:rsid w:val="00815705"/>
    <w:rsid w:val="00815E6F"/>
    <w:rsid w:val="00816B45"/>
    <w:rsid w:val="008174F7"/>
    <w:rsid w:val="00817AF5"/>
    <w:rsid w:val="00820122"/>
    <w:rsid w:val="00822689"/>
    <w:rsid w:val="00822972"/>
    <w:rsid w:val="00823295"/>
    <w:rsid w:val="008236BD"/>
    <w:rsid w:val="00823954"/>
    <w:rsid w:val="008246D1"/>
    <w:rsid w:val="008247E6"/>
    <w:rsid w:val="00825B09"/>
    <w:rsid w:val="00826927"/>
    <w:rsid w:val="00827753"/>
    <w:rsid w:val="00830489"/>
    <w:rsid w:val="00830DF4"/>
    <w:rsid w:val="00830F50"/>
    <w:rsid w:val="008311C9"/>
    <w:rsid w:val="00831FF8"/>
    <w:rsid w:val="008321BF"/>
    <w:rsid w:val="00832BCE"/>
    <w:rsid w:val="00835965"/>
    <w:rsid w:val="00836A9E"/>
    <w:rsid w:val="00836CC8"/>
    <w:rsid w:val="008412E9"/>
    <w:rsid w:val="00841A85"/>
    <w:rsid w:val="00842917"/>
    <w:rsid w:val="0084327E"/>
    <w:rsid w:val="00843D81"/>
    <w:rsid w:val="00844C3D"/>
    <w:rsid w:val="008469B3"/>
    <w:rsid w:val="008470AD"/>
    <w:rsid w:val="008473D2"/>
    <w:rsid w:val="0084768E"/>
    <w:rsid w:val="00852860"/>
    <w:rsid w:val="00852E7E"/>
    <w:rsid w:val="00853AC9"/>
    <w:rsid w:val="00853BB2"/>
    <w:rsid w:val="0085424B"/>
    <w:rsid w:val="008566FE"/>
    <w:rsid w:val="00856E0D"/>
    <w:rsid w:val="00860972"/>
    <w:rsid w:val="008614E7"/>
    <w:rsid w:val="00865A9E"/>
    <w:rsid w:val="00865D8B"/>
    <w:rsid w:val="008662B7"/>
    <w:rsid w:val="00866591"/>
    <w:rsid w:val="0086674F"/>
    <w:rsid w:val="00866B9F"/>
    <w:rsid w:val="00867071"/>
    <w:rsid w:val="0086781F"/>
    <w:rsid w:val="008719A3"/>
    <w:rsid w:val="00871A0B"/>
    <w:rsid w:val="00871C6E"/>
    <w:rsid w:val="00872BDF"/>
    <w:rsid w:val="00872FC5"/>
    <w:rsid w:val="00873186"/>
    <w:rsid w:val="00875259"/>
    <w:rsid w:val="0087593B"/>
    <w:rsid w:val="00876E63"/>
    <w:rsid w:val="008805A0"/>
    <w:rsid w:val="00880A54"/>
    <w:rsid w:val="00881023"/>
    <w:rsid w:val="00882834"/>
    <w:rsid w:val="00883D8A"/>
    <w:rsid w:val="00883F72"/>
    <w:rsid w:val="0088460E"/>
    <w:rsid w:val="00884ABB"/>
    <w:rsid w:val="008852E3"/>
    <w:rsid w:val="00885EEC"/>
    <w:rsid w:val="00886276"/>
    <w:rsid w:val="008870AC"/>
    <w:rsid w:val="00890DF8"/>
    <w:rsid w:val="008916F6"/>
    <w:rsid w:val="00891D48"/>
    <w:rsid w:val="00893DAE"/>
    <w:rsid w:val="00894481"/>
    <w:rsid w:val="008948FE"/>
    <w:rsid w:val="00896ED1"/>
    <w:rsid w:val="0089722E"/>
    <w:rsid w:val="0089757F"/>
    <w:rsid w:val="00897DC2"/>
    <w:rsid w:val="00897FBB"/>
    <w:rsid w:val="008A0123"/>
    <w:rsid w:val="008A0406"/>
    <w:rsid w:val="008A06C7"/>
    <w:rsid w:val="008A1275"/>
    <w:rsid w:val="008A17FD"/>
    <w:rsid w:val="008A1AD9"/>
    <w:rsid w:val="008A25DB"/>
    <w:rsid w:val="008A3765"/>
    <w:rsid w:val="008A3786"/>
    <w:rsid w:val="008A3E0E"/>
    <w:rsid w:val="008A47E3"/>
    <w:rsid w:val="008A4A0F"/>
    <w:rsid w:val="008A4D8F"/>
    <w:rsid w:val="008A53DD"/>
    <w:rsid w:val="008A559F"/>
    <w:rsid w:val="008A7BF3"/>
    <w:rsid w:val="008A7E31"/>
    <w:rsid w:val="008B009F"/>
    <w:rsid w:val="008B1AD2"/>
    <w:rsid w:val="008B1BF3"/>
    <w:rsid w:val="008B2978"/>
    <w:rsid w:val="008B396D"/>
    <w:rsid w:val="008B3BD7"/>
    <w:rsid w:val="008B5282"/>
    <w:rsid w:val="008B58EA"/>
    <w:rsid w:val="008B6548"/>
    <w:rsid w:val="008B7D83"/>
    <w:rsid w:val="008C01A5"/>
    <w:rsid w:val="008C0A49"/>
    <w:rsid w:val="008C218F"/>
    <w:rsid w:val="008C24D6"/>
    <w:rsid w:val="008C2A0C"/>
    <w:rsid w:val="008C4842"/>
    <w:rsid w:val="008C536A"/>
    <w:rsid w:val="008C53DA"/>
    <w:rsid w:val="008C5567"/>
    <w:rsid w:val="008C7B6C"/>
    <w:rsid w:val="008D0180"/>
    <w:rsid w:val="008D0C76"/>
    <w:rsid w:val="008D16A8"/>
    <w:rsid w:val="008D17E2"/>
    <w:rsid w:val="008D1924"/>
    <w:rsid w:val="008D1BAE"/>
    <w:rsid w:val="008D4D6E"/>
    <w:rsid w:val="008D55F0"/>
    <w:rsid w:val="008D593A"/>
    <w:rsid w:val="008D6493"/>
    <w:rsid w:val="008D6CE6"/>
    <w:rsid w:val="008D7614"/>
    <w:rsid w:val="008D7689"/>
    <w:rsid w:val="008E0122"/>
    <w:rsid w:val="008E13E9"/>
    <w:rsid w:val="008E15C6"/>
    <w:rsid w:val="008E18DC"/>
    <w:rsid w:val="008E2355"/>
    <w:rsid w:val="008E39B3"/>
    <w:rsid w:val="008E41CB"/>
    <w:rsid w:val="008E4702"/>
    <w:rsid w:val="008E5D7A"/>
    <w:rsid w:val="008E654F"/>
    <w:rsid w:val="008E6ADD"/>
    <w:rsid w:val="008F00E3"/>
    <w:rsid w:val="008F0C52"/>
    <w:rsid w:val="008F2435"/>
    <w:rsid w:val="008F4516"/>
    <w:rsid w:val="008F4677"/>
    <w:rsid w:val="008F5518"/>
    <w:rsid w:val="008F5F04"/>
    <w:rsid w:val="008F60BA"/>
    <w:rsid w:val="008F6227"/>
    <w:rsid w:val="008F6BD1"/>
    <w:rsid w:val="008F6E7C"/>
    <w:rsid w:val="008F74DF"/>
    <w:rsid w:val="008F78CB"/>
    <w:rsid w:val="008F79AE"/>
    <w:rsid w:val="00900809"/>
    <w:rsid w:val="00900D19"/>
    <w:rsid w:val="00900F86"/>
    <w:rsid w:val="0090403D"/>
    <w:rsid w:val="009047D7"/>
    <w:rsid w:val="009048D7"/>
    <w:rsid w:val="00905E97"/>
    <w:rsid w:val="00906833"/>
    <w:rsid w:val="0090699F"/>
    <w:rsid w:val="00907051"/>
    <w:rsid w:val="009075A3"/>
    <w:rsid w:val="00911B62"/>
    <w:rsid w:val="00912718"/>
    <w:rsid w:val="009137CE"/>
    <w:rsid w:val="009145D8"/>
    <w:rsid w:val="00915805"/>
    <w:rsid w:val="00915A9C"/>
    <w:rsid w:val="00916E9C"/>
    <w:rsid w:val="00916FEA"/>
    <w:rsid w:val="00920232"/>
    <w:rsid w:val="00922058"/>
    <w:rsid w:val="00923AA8"/>
    <w:rsid w:val="00924776"/>
    <w:rsid w:val="009267F1"/>
    <w:rsid w:val="00932B82"/>
    <w:rsid w:val="009330E6"/>
    <w:rsid w:val="00933FF6"/>
    <w:rsid w:val="00934F23"/>
    <w:rsid w:val="009355A1"/>
    <w:rsid w:val="009358E9"/>
    <w:rsid w:val="00935CE8"/>
    <w:rsid w:val="00935E0D"/>
    <w:rsid w:val="00936694"/>
    <w:rsid w:val="00936B22"/>
    <w:rsid w:val="00937C7E"/>
    <w:rsid w:val="00937E1D"/>
    <w:rsid w:val="009418E9"/>
    <w:rsid w:val="00943580"/>
    <w:rsid w:val="0094406A"/>
    <w:rsid w:val="00944151"/>
    <w:rsid w:val="00944E25"/>
    <w:rsid w:val="00945C46"/>
    <w:rsid w:val="00946529"/>
    <w:rsid w:val="00946E94"/>
    <w:rsid w:val="009474A7"/>
    <w:rsid w:val="00952085"/>
    <w:rsid w:val="00953823"/>
    <w:rsid w:val="00954F66"/>
    <w:rsid w:val="0095534C"/>
    <w:rsid w:val="009564D5"/>
    <w:rsid w:val="009569C1"/>
    <w:rsid w:val="00957443"/>
    <w:rsid w:val="00957F2C"/>
    <w:rsid w:val="00960011"/>
    <w:rsid w:val="009609D5"/>
    <w:rsid w:val="00962BB9"/>
    <w:rsid w:val="00962C1C"/>
    <w:rsid w:val="00963073"/>
    <w:rsid w:val="00963883"/>
    <w:rsid w:val="00964154"/>
    <w:rsid w:val="00964F3A"/>
    <w:rsid w:val="009652D5"/>
    <w:rsid w:val="00965390"/>
    <w:rsid w:val="009659D5"/>
    <w:rsid w:val="00965DFE"/>
    <w:rsid w:val="00965F9E"/>
    <w:rsid w:val="009663BD"/>
    <w:rsid w:val="00966FB0"/>
    <w:rsid w:val="00967219"/>
    <w:rsid w:val="009703C4"/>
    <w:rsid w:val="009740D7"/>
    <w:rsid w:val="0097487F"/>
    <w:rsid w:val="00974AF2"/>
    <w:rsid w:val="00974C81"/>
    <w:rsid w:val="00974D3A"/>
    <w:rsid w:val="0097537E"/>
    <w:rsid w:val="00975C48"/>
    <w:rsid w:val="00977119"/>
    <w:rsid w:val="00977390"/>
    <w:rsid w:val="00982A32"/>
    <w:rsid w:val="00982A98"/>
    <w:rsid w:val="009835E3"/>
    <w:rsid w:val="00983F1A"/>
    <w:rsid w:val="00984237"/>
    <w:rsid w:val="00985C69"/>
    <w:rsid w:val="009861F9"/>
    <w:rsid w:val="0098715D"/>
    <w:rsid w:val="0098720B"/>
    <w:rsid w:val="009879B9"/>
    <w:rsid w:val="00987BBD"/>
    <w:rsid w:val="00990359"/>
    <w:rsid w:val="00991279"/>
    <w:rsid w:val="009925FC"/>
    <w:rsid w:val="00992685"/>
    <w:rsid w:val="00992892"/>
    <w:rsid w:val="009952AD"/>
    <w:rsid w:val="0099544B"/>
    <w:rsid w:val="0099704C"/>
    <w:rsid w:val="00997B03"/>
    <w:rsid w:val="00997BB0"/>
    <w:rsid w:val="009A0F45"/>
    <w:rsid w:val="009A265C"/>
    <w:rsid w:val="009A2A48"/>
    <w:rsid w:val="009A3B60"/>
    <w:rsid w:val="009A4955"/>
    <w:rsid w:val="009A50CD"/>
    <w:rsid w:val="009A5703"/>
    <w:rsid w:val="009A6B5C"/>
    <w:rsid w:val="009A6DAE"/>
    <w:rsid w:val="009A6EF8"/>
    <w:rsid w:val="009A6F59"/>
    <w:rsid w:val="009B0955"/>
    <w:rsid w:val="009B09CA"/>
    <w:rsid w:val="009B2B19"/>
    <w:rsid w:val="009B2EF1"/>
    <w:rsid w:val="009B42ED"/>
    <w:rsid w:val="009B49B9"/>
    <w:rsid w:val="009B4A1C"/>
    <w:rsid w:val="009B54E3"/>
    <w:rsid w:val="009B57E8"/>
    <w:rsid w:val="009B643B"/>
    <w:rsid w:val="009B7001"/>
    <w:rsid w:val="009B71E4"/>
    <w:rsid w:val="009B7729"/>
    <w:rsid w:val="009C03F9"/>
    <w:rsid w:val="009C1297"/>
    <w:rsid w:val="009C139B"/>
    <w:rsid w:val="009C2217"/>
    <w:rsid w:val="009C351B"/>
    <w:rsid w:val="009C35DD"/>
    <w:rsid w:val="009C49BC"/>
    <w:rsid w:val="009C5A1D"/>
    <w:rsid w:val="009C7CE8"/>
    <w:rsid w:val="009D040B"/>
    <w:rsid w:val="009D0633"/>
    <w:rsid w:val="009D1A77"/>
    <w:rsid w:val="009D21A4"/>
    <w:rsid w:val="009D2B30"/>
    <w:rsid w:val="009D3033"/>
    <w:rsid w:val="009D4CC4"/>
    <w:rsid w:val="009D53C0"/>
    <w:rsid w:val="009D5F36"/>
    <w:rsid w:val="009E0255"/>
    <w:rsid w:val="009E04CF"/>
    <w:rsid w:val="009E04DB"/>
    <w:rsid w:val="009E06BD"/>
    <w:rsid w:val="009E1A8D"/>
    <w:rsid w:val="009E2388"/>
    <w:rsid w:val="009E3165"/>
    <w:rsid w:val="009E3D48"/>
    <w:rsid w:val="009E45FE"/>
    <w:rsid w:val="009E4FD2"/>
    <w:rsid w:val="009E575D"/>
    <w:rsid w:val="009E5EFF"/>
    <w:rsid w:val="009E60B4"/>
    <w:rsid w:val="009E62E9"/>
    <w:rsid w:val="009E660A"/>
    <w:rsid w:val="009E6C55"/>
    <w:rsid w:val="009E73C1"/>
    <w:rsid w:val="009E759F"/>
    <w:rsid w:val="009F0D06"/>
    <w:rsid w:val="009F2F13"/>
    <w:rsid w:val="009F36C8"/>
    <w:rsid w:val="009F405B"/>
    <w:rsid w:val="009F41B2"/>
    <w:rsid w:val="009F44E3"/>
    <w:rsid w:val="009F4EE4"/>
    <w:rsid w:val="009F4F53"/>
    <w:rsid w:val="009F52C2"/>
    <w:rsid w:val="009F62E1"/>
    <w:rsid w:val="009F6F1B"/>
    <w:rsid w:val="00A006D8"/>
    <w:rsid w:val="00A01262"/>
    <w:rsid w:val="00A01AF2"/>
    <w:rsid w:val="00A01D7C"/>
    <w:rsid w:val="00A03097"/>
    <w:rsid w:val="00A047EA"/>
    <w:rsid w:val="00A06A80"/>
    <w:rsid w:val="00A0714A"/>
    <w:rsid w:val="00A07406"/>
    <w:rsid w:val="00A07769"/>
    <w:rsid w:val="00A10D87"/>
    <w:rsid w:val="00A10FC4"/>
    <w:rsid w:val="00A11196"/>
    <w:rsid w:val="00A1206D"/>
    <w:rsid w:val="00A13AC1"/>
    <w:rsid w:val="00A13BBC"/>
    <w:rsid w:val="00A154A1"/>
    <w:rsid w:val="00A17267"/>
    <w:rsid w:val="00A206AC"/>
    <w:rsid w:val="00A207E5"/>
    <w:rsid w:val="00A20805"/>
    <w:rsid w:val="00A21A44"/>
    <w:rsid w:val="00A228A6"/>
    <w:rsid w:val="00A22FDB"/>
    <w:rsid w:val="00A25396"/>
    <w:rsid w:val="00A26087"/>
    <w:rsid w:val="00A27621"/>
    <w:rsid w:val="00A277C9"/>
    <w:rsid w:val="00A305B3"/>
    <w:rsid w:val="00A30E58"/>
    <w:rsid w:val="00A31383"/>
    <w:rsid w:val="00A31944"/>
    <w:rsid w:val="00A31CCA"/>
    <w:rsid w:val="00A34ACA"/>
    <w:rsid w:val="00A34F91"/>
    <w:rsid w:val="00A35803"/>
    <w:rsid w:val="00A36A71"/>
    <w:rsid w:val="00A37D06"/>
    <w:rsid w:val="00A40C97"/>
    <w:rsid w:val="00A40F2C"/>
    <w:rsid w:val="00A4380D"/>
    <w:rsid w:val="00A43F00"/>
    <w:rsid w:val="00A4568D"/>
    <w:rsid w:val="00A470B4"/>
    <w:rsid w:val="00A470F8"/>
    <w:rsid w:val="00A47393"/>
    <w:rsid w:val="00A50456"/>
    <w:rsid w:val="00A50C99"/>
    <w:rsid w:val="00A5147F"/>
    <w:rsid w:val="00A52516"/>
    <w:rsid w:val="00A536E5"/>
    <w:rsid w:val="00A53FA0"/>
    <w:rsid w:val="00A54264"/>
    <w:rsid w:val="00A55528"/>
    <w:rsid w:val="00A563BC"/>
    <w:rsid w:val="00A56F78"/>
    <w:rsid w:val="00A57045"/>
    <w:rsid w:val="00A5754A"/>
    <w:rsid w:val="00A57A8C"/>
    <w:rsid w:val="00A63064"/>
    <w:rsid w:val="00A64917"/>
    <w:rsid w:val="00A64BC0"/>
    <w:rsid w:val="00A66165"/>
    <w:rsid w:val="00A6718B"/>
    <w:rsid w:val="00A70CE6"/>
    <w:rsid w:val="00A70EEE"/>
    <w:rsid w:val="00A710FF"/>
    <w:rsid w:val="00A71987"/>
    <w:rsid w:val="00A71DAE"/>
    <w:rsid w:val="00A72028"/>
    <w:rsid w:val="00A72510"/>
    <w:rsid w:val="00A72604"/>
    <w:rsid w:val="00A73188"/>
    <w:rsid w:val="00A73536"/>
    <w:rsid w:val="00A73C5C"/>
    <w:rsid w:val="00A74DC1"/>
    <w:rsid w:val="00A755AD"/>
    <w:rsid w:val="00A75877"/>
    <w:rsid w:val="00A7689D"/>
    <w:rsid w:val="00A77082"/>
    <w:rsid w:val="00A77DFD"/>
    <w:rsid w:val="00A77EB6"/>
    <w:rsid w:val="00A77F5D"/>
    <w:rsid w:val="00A8184A"/>
    <w:rsid w:val="00A81F01"/>
    <w:rsid w:val="00A8205D"/>
    <w:rsid w:val="00A82094"/>
    <w:rsid w:val="00A820DE"/>
    <w:rsid w:val="00A82C41"/>
    <w:rsid w:val="00A830CF"/>
    <w:rsid w:val="00A83BBC"/>
    <w:rsid w:val="00A83E6C"/>
    <w:rsid w:val="00A84BB2"/>
    <w:rsid w:val="00A850FD"/>
    <w:rsid w:val="00A85B2B"/>
    <w:rsid w:val="00A911E0"/>
    <w:rsid w:val="00A926DA"/>
    <w:rsid w:val="00A9295D"/>
    <w:rsid w:val="00A93561"/>
    <w:rsid w:val="00A94439"/>
    <w:rsid w:val="00A94956"/>
    <w:rsid w:val="00A9556D"/>
    <w:rsid w:val="00A95A26"/>
    <w:rsid w:val="00A96A83"/>
    <w:rsid w:val="00A96CF5"/>
    <w:rsid w:val="00A97252"/>
    <w:rsid w:val="00AA1134"/>
    <w:rsid w:val="00AA1B8C"/>
    <w:rsid w:val="00AA227D"/>
    <w:rsid w:val="00AA22F3"/>
    <w:rsid w:val="00AA252C"/>
    <w:rsid w:val="00AA2A6F"/>
    <w:rsid w:val="00AA4B81"/>
    <w:rsid w:val="00AA531C"/>
    <w:rsid w:val="00AA75E4"/>
    <w:rsid w:val="00AB0034"/>
    <w:rsid w:val="00AB0103"/>
    <w:rsid w:val="00AB03BC"/>
    <w:rsid w:val="00AB05C8"/>
    <w:rsid w:val="00AB085D"/>
    <w:rsid w:val="00AB117D"/>
    <w:rsid w:val="00AB14C7"/>
    <w:rsid w:val="00AB2004"/>
    <w:rsid w:val="00AB591E"/>
    <w:rsid w:val="00AB6994"/>
    <w:rsid w:val="00AB6C58"/>
    <w:rsid w:val="00AC04D1"/>
    <w:rsid w:val="00AC0BE9"/>
    <w:rsid w:val="00AC27D3"/>
    <w:rsid w:val="00AC3806"/>
    <w:rsid w:val="00AC3C9E"/>
    <w:rsid w:val="00AC429A"/>
    <w:rsid w:val="00AC448B"/>
    <w:rsid w:val="00AC56D1"/>
    <w:rsid w:val="00AC636D"/>
    <w:rsid w:val="00AC682C"/>
    <w:rsid w:val="00AC6CA4"/>
    <w:rsid w:val="00AC72D1"/>
    <w:rsid w:val="00AD06BC"/>
    <w:rsid w:val="00AD0DD7"/>
    <w:rsid w:val="00AD0E00"/>
    <w:rsid w:val="00AD0F6B"/>
    <w:rsid w:val="00AD19C2"/>
    <w:rsid w:val="00AD3BD0"/>
    <w:rsid w:val="00AD3F7F"/>
    <w:rsid w:val="00AD455A"/>
    <w:rsid w:val="00AD4C9E"/>
    <w:rsid w:val="00AD674C"/>
    <w:rsid w:val="00AD6C92"/>
    <w:rsid w:val="00AD6E16"/>
    <w:rsid w:val="00AE0AA9"/>
    <w:rsid w:val="00AE0F29"/>
    <w:rsid w:val="00AE138B"/>
    <w:rsid w:val="00AE1C53"/>
    <w:rsid w:val="00AE22BE"/>
    <w:rsid w:val="00AE23A8"/>
    <w:rsid w:val="00AE2AED"/>
    <w:rsid w:val="00AE323E"/>
    <w:rsid w:val="00AE3705"/>
    <w:rsid w:val="00AE3D2D"/>
    <w:rsid w:val="00AE4240"/>
    <w:rsid w:val="00AE47C1"/>
    <w:rsid w:val="00AE500F"/>
    <w:rsid w:val="00AE560C"/>
    <w:rsid w:val="00AE5A9A"/>
    <w:rsid w:val="00AE5AE4"/>
    <w:rsid w:val="00AE6015"/>
    <w:rsid w:val="00AE618C"/>
    <w:rsid w:val="00AE63F2"/>
    <w:rsid w:val="00AE6A74"/>
    <w:rsid w:val="00AE6C07"/>
    <w:rsid w:val="00AF0ECC"/>
    <w:rsid w:val="00AF2A63"/>
    <w:rsid w:val="00AF535B"/>
    <w:rsid w:val="00AF536A"/>
    <w:rsid w:val="00AF5E34"/>
    <w:rsid w:val="00AF69EE"/>
    <w:rsid w:val="00AF7190"/>
    <w:rsid w:val="00B00133"/>
    <w:rsid w:val="00B00B65"/>
    <w:rsid w:val="00B02117"/>
    <w:rsid w:val="00B0360C"/>
    <w:rsid w:val="00B03CF8"/>
    <w:rsid w:val="00B051FC"/>
    <w:rsid w:val="00B054A2"/>
    <w:rsid w:val="00B065FA"/>
    <w:rsid w:val="00B067D5"/>
    <w:rsid w:val="00B07152"/>
    <w:rsid w:val="00B0743F"/>
    <w:rsid w:val="00B0777C"/>
    <w:rsid w:val="00B07CF0"/>
    <w:rsid w:val="00B1152D"/>
    <w:rsid w:val="00B1229C"/>
    <w:rsid w:val="00B12AC0"/>
    <w:rsid w:val="00B132D2"/>
    <w:rsid w:val="00B1391E"/>
    <w:rsid w:val="00B14BDD"/>
    <w:rsid w:val="00B15E99"/>
    <w:rsid w:val="00B16C9E"/>
    <w:rsid w:val="00B16F23"/>
    <w:rsid w:val="00B16F9F"/>
    <w:rsid w:val="00B17F25"/>
    <w:rsid w:val="00B20540"/>
    <w:rsid w:val="00B2082E"/>
    <w:rsid w:val="00B2101E"/>
    <w:rsid w:val="00B220B0"/>
    <w:rsid w:val="00B22658"/>
    <w:rsid w:val="00B235AA"/>
    <w:rsid w:val="00B2473D"/>
    <w:rsid w:val="00B261C7"/>
    <w:rsid w:val="00B26957"/>
    <w:rsid w:val="00B27BD2"/>
    <w:rsid w:val="00B307D7"/>
    <w:rsid w:val="00B32697"/>
    <w:rsid w:val="00B33070"/>
    <w:rsid w:val="00B34745"/>
    <w:rsid w:val="00B34CBF"/>
    <w:rsid w:val="00B34DE6"/>
    <w:rsid w:val="00B35881"/>
    <w:rsid w:val="00B35894"/>
    <w:rsid w:val="00B35F00"/>
    <w:rsid w:val="00B37763"/>
    <w:rsid w:val="00B40243"/>
    <w:rsid w:val="00B402FC"/>
    <w:rsid w:val="00B437E9"/>
    <w:rsid w:val="00B43C5B"/>
    <w:rsid w:val="00B44D4F"/>
    <w:rsid w:val="00B46827"/>
    <w:rsid w:val="00B46B6E"/>
    <w:rsid w:val="00B46C10"/>
    <w:rsid w:val="00B46E76"/>
    <w:rsid w:val="00B47385"/>
    <w:rsid w:val="00B50EC4"/>
    <w:rsid w:val="00B513D5"/>
    <w:rsid w:val="00B51741"/>
    <w:rsid w:val="00B536A7"/>
    <w:rsid w:val="00B54E69"/>
    <w:rsid w:val="00B55800"/>
    <w:rsid w:val="00B56232"/>
    <w:rsid w:val="00B56460"/>
    <w:rsid w:val="00B572F1"/>
    <w:rsid w:val="00B5775B"/>
    <w:rsid w:val="00B60C08"/>
    <w:rsid w:val="00B6142C"/>
    <w:rsid w:val="00B620C1"/>
    <w:rsid w:val="00B620F3"/>
    <w:rsid w:val="00B621EE"/>
    <w:rsid w:val="00B62B41"/>
    <w:rsid w:val="00B63332"/>
    <w:rsid w:val="00B638BF"/>
    <w:rsid w:val="00B6610C"/>
    <w:rsid w:val="00B6648B"/>
    <w:rsid w:val="00B667FE"/>
    <w:rsid w:val="00B673B6"/>
    <w:rsid w:val="00B6758E"/>
    <w:rsid w:val="00B71024"/>
    <w:rsid w:val="00B7115E"/>
    <w:rsid w:val="00B71DCA"/>
    <w:rsid w:val="00B74CF8"/>
    <w:rsid w:val="00B74EC2"/>
    <w:rsid w:val="00B7507D"/>
    <w:rsid w:val="00B7551D"/>
    <w:rsid w:val="00B7563F"/>
    <w:rsid w:val="00B75983"/>
    <w:rsid w:val="00B7673F"/>
    <w:rsid w:val="00B77C1A"/>
    <w:rsid w:val="00B77C54"/>
    <w:rsid w:val="00B809A9"/>
    <w:rsid w:val="00B829ED"/>
    <w:rsid w:val="00B83E06"/>
    <w:rsid w:val="00B842E5"/>
    <w:rsid w:val="00B84D9D"/>
    <w:rsid w:val="00B85050"/>
    <w:rsid w:val="00B85462"/>
    <w:rsid w:val="00B8595E"/>
    <w:rsid w:val="00B8616D"/>
    <w:rsid w:val="00B86622"/>
    <w:rsid w:val="00B87C2C"/>
    <w:rsid w:val="00B90581"/>
    <w:rsid w:val="00B90E36"/>
    <w:rsid w:val="00B913AD"/>
    <w:rsid w:val="00B914DA"/>
    <w:rsid w:val="00B92FAD"/>
    <w:rsid w:val="00B93ACD"/>
    <w:rsid w:val="00B941CB"/>
    <w:rsid w:val="00B961A6"/>
    <w:rsid w:val="00BA083B"/>
    <w:rsid w:val="00BA27C6"/>
    <w:rsid w:val="00BA3663"/>
    <w:rsid w:val="00BA5A8B"/>
    <w:rsid w:val="00BA5DB6"/>
    <w:rsid w:val="00BA6529"/>
    <w:rsid w:val="00BA66D1"/>
    <w:rsid w:val="00BA6FBF"/>
    <w:rsid w:val="00BA70E3"/>
    <w:rsid w:val="00BA70F4"/>
    <w:rsid w:val="00BB03C0"/>
    <w:rsid w:val="00BB04E1"/>
    <w:rsid w:val="00BB34BA"/>
    <w:rsid w:val="00BB3F1D"/>
    <w:rsid w:val="00BB443E"/>
    <w:rsid w:val="00BB496B"/>
    <w:rsid w:val="00BB5C37"/>
    <w:rsid w:val="00BB6906"/>
    <w:rsid w:val="00BB6D7C"/>
    <w:rsid w:val="00BB7170"/>
    <w:rsid w:val="00BC0A58"/>
    <w:rsid w:val="00BC4604"/>
    <w:rsid w:val="00BC595C"/>
    <w:rsid w:val="00BC65DA"/>
    <w:rsid w:val="00BC764B"/>
    <w:rsid w:val="00BC7EE0"/>
    <w:rsid w:val="00BD0176"/>
    <w:rsid w:val="00BD0662"/>
    <w:rsid w:val="00BD14CD"/>
    <w:rsid w:val="00BD16A8"/>
    <w:rsid w:val="00BD1E3E"/>
    <w:rsid w:val="00BD345C"/>
    <w:rsid w:val="00BD45FE"/>
    <w:rsid w:val="00BD6477"/>
    <w:rsid w:val="00BD72AA"/>
    <w:rsid w:val="00BD7AF4"/>
    <w:rsid w:val="00BE147C"/>
    <w:rsid w:val="00BE2DD8"/>
    <w:rsid w:val="00BE3A11"/>
    <w:rsid w:val="00BE4302"/>
    <w:rsid w:val="00BE4FAF"/>
    <w:rsid w:val="00BE6531"/>
    <w:rsid w:val="00BF0797"/>
    <w:rsid w:val="00BF1583"/>
    <w:rsid w:val="00BF15BE"/>
    <w:rsid w:val="00BF1669"/>
    <w:rsid w:val="00BF221C"/>
    <w:rsid w:val="00BF2744"/>
    <w:rsid w:val="00BF2755"/>
    <w:rsid w:val="00BF29F0"/>
    <w:rsid w:val="00BF2F78"/>
    <w:rsid w:val="00BF3774"/>
    <w:rsid w:val="00BF3F36"/>
    <w:rsid w:val="00BF5E0D"/>
    <w:rsid w:val="00BF632F"/>
    <w:rsid w:val="00BF6AB6"/>
    <w:rsid w:val="00C01917"/>
    <w:rsid w:val="00C027AB"/>
    <w:rsid w:val="00C02F15"/>
    <w:rsid w:val="00C036BF"/>
    <w:rsid w:val="00C043ED"/>
    <w:rsid w:val="00C047DF"/>
    <w:rsid w:val="00C04B6D"/>
    <w:rsid w:val="00C0547E"/>
    <w:rsid w:val="00C06ED7"/>
    <w:rsid w:val="00C10929"/>
    <w:rsid w:val="00C10A5D"/>
    <w:rsid w:val="00C1288B"/>
    <w:rsid w:val="00C14702"/>
    <w:rsid w:val="00C1474E"/>
    <w:rsid w:val="00C14A05"/>
    <w:rsid w:val="00C166E1"/>
    <w:rsid w:val="00C166EE"/>
    <w:rsid w:val="00C16A58"/>
    <w:rsid w:val="00C17020"/>
    <w:rsid w:val="00C176A6"/>
    <w:rsid w:val="00C17F71"/>
    <w:rsid w:val="00C20560"/>
    <w:rsid w:val="00C2167F"/>
    <w:rsid w:val="00C217EA"/>
    <w:rsid w:val="00C227BA"/>
    <w:rsid w:val="00C2446B"/>
    <w:rsid w:val="00C24CC4"/>
    <w:rsid w:val="00C25ABD"/>
    <w:rsid w:val="00C267F7"/>
    <w:rsid w:val="00C3049F"/>
    <w:rsid w:val="00C3053B"/>
    <w:rsid w:val="00C32A56"/>
    <w:rsid w:val="00C32A8E"/>
    <w:rsid w:val="00C34339"/>
    <w:rsid w:val="00C3463F"/>
    <w:rsid w:val="00C34A12"/>
    <w:rsid w:val="00C359EE"/>
    <w:rsid w:val="00C3659A"/>
    <w:rsid w:val="00C36D0B"/>
    <w:rsid w:val="00C3798C"/>
    <w:rsid w:val="00C37A32"/>
    <w:rsid w:val="00C37BCB"/>
    <w:rsid w:val="00C4105B"/>
    <w:rsid w:val="00C41212"/>
    <w:rsid w:val="00C424D8"/>
    <w:rsid w:val="00C43477"/>
    <w:rsid w:val="00C4356A"/>
    <w:rsid w:val="00C448B2"/>
    <w:rsid w:val="00C45B50"/>
    <w:rsid w:val="00C4783C"/>
    <w:rsid w:val="00C478D4"/>
    <w:rsid w:val="00C51C31"/>
    <w:rsid w:val="00C5240F"/>
    <w:rsid w:val="00C5327F"/>
    <w:rsid w:val="00C54691"/>
    <w:rsid w:val="00C55EA1"/>
    <w:rsid w:val="00C55EC4"/>
    <w:rsid w:val="00C56549"/>
    <w:rsid w:val="00C60BB2"/>
    <w:rsid w:val="00C62572"/>
    <w:rsid w:val="00C632A8"/>
    <w:rsid w:val="00C63A2A"/>
    <w:rsid w:val="00C64C40"/>
    <w:rsid w:val="00C65552"/>
    <w:rsid w:val="00C6698C"/>
    <w:rsid w:val="00C67011"/>
    <w:rsid w:val="00C678CC"/>
    <w:rsid w:val="00C71244"/>
    <w:rsid w:val="00C713A9"/>
    <w:rsid w:val="00C71B94"/>
    <w:rsid w:val="00C71F6C"/>
    <w:rsid w:val="00C7282A"/>
    <w:rsid w:val="00C72B15"/>
    <w:rsid w:val="00C72B5E"/>
    <w:rsid w:val="00C72C07"/>
    <w:rsid w:val="00C72CB6"/>
    <w:rsid w:val="00C738FC"/>
    <w:rsid w:val="00C748CD"/>
    <w:rsid w:val="00C75084"/>
    <w:rsid w:val="00C75680"/>
    <w:rsid w:val="00C762D8"/>
    <w:rsid w:val="00C76537"/>
    <w:rsid w:val="00C771BB"/>
    <w:rsid w:val="00C77318"/>
    <w:rsid w:val="00C81440"/>
    <w:rsid w:val="00C81631"/>
    <w:rsid w:val="00C82012"/>
    <w:rsid w:val="00C83204"/>
    <w:rsid w:val="00C83D3B"/>
    <w:rsid w:val="00C845ED"/>
    <w:rsid w:val="00C84812"/>
    <w:rsid w:val="00C84BB6"/>
    <w:rsid w:val="00C84F6D"/>
    <w:rsid w:val="00C850DE"/>
    <w:rsid w:val="00C867AB"/>
    <w:rsid w:val="00C86AEE"/>
    <w:rsid w:val="00C86EE9"/>
    <w:rsid w:val="00C87257"/>
    <w:rsid w:val="00C90554"/>
    <w:rsid w:val="00C90656"/>
    <w:rsid w:val="00C931C1"/>
    <w:rsid w:val="00C9338B"/>
    <w:rsid w:val="00C933D0"/>
    <w:rsid w:val="00C9447B"/>
    <w:rsid w:val="00C94FE5"/>
    <w:rsid w:val="00C954C5"/>
    <w:rsid w:val="00C96AAA"/>
    <w:rsid w:val="00C978E7"/>
    <w:rsid w:val="00CA0767"/>
    <w:rsid w:val="00CA098E"/>
    <w:rsid w:val="00CA1AD2"/>
    <w:rsid w:val="00CA34FA"/>
    <w:rsid w:val="00CA50D9"/>
    <w:rsid w:val="00CA62D6"/>
    <w:rsid w:val="00CA6CCE"/>
    <w:rsid w:val="00CB042D"/>
    <w:rsid w:val="00CB0A26"/>
    <w:rsid w:val="00CB1D0A"/>
    <w:rsid w:val="00CB1D8E"/>
    <w:rsid w:val="00CB3927"/>
    <w:rsid w:val="00CB3C6A"/>
    <w:rsid w:val="00CB5A45"/>
    <w:rsid w:val="00CB6423"/>
    <w:rsid w:val="00CB6A78"/>
    <w:rsid w:val="00CB6BBF"/>
    <w:rsid w:val="00CC018A"/>
    <w:rsid w:val="00CC0499"/>
    <w:rsid w:val="00CC0FF6"/>
    <w:rsid w:val="00CC1EC8"/>
    <w:rsid w:val="00CC5444"/>
    <w:rsid w:val="00CC7192"/>
    <w:rsid w:val="00CD1F50"/>
    <w:rsid w:val="00CD2766"/>
    <w:rsid w:val="00CD2DFF"/>
    <w:rsid w:val="00CD3427"/>
    <w:rsid w:val="00CD3DFE"/>
    <w:rsid w:val="00CD3EE2"/>
    <w:rsid w:val="00CD4EC5"/>
    <w:rsid w:val="00CD4FA2"/>
    <w:rsid w:val="00CD537D"/>
    <w:rsid w:val="00CD5910"/>
    <w:rsid w:val="00CD5975"/>
    <w:rsid w:val="00CD5E87"/>
    <w:rsid w:val="00CD60A6"/>
    <w:rsid w:val="00CD74A4"/>
    <w:rsid w:val="00CD7B24"/>
    <w:rsid w:val="00CE0F29"/>
    <w:rsid w:val="00CE1A15"/>
    <w:rsid w:val="00CE1F96"/>
    <w:rsid w:val="00CE28BB"/>
    <w:rsid w:val="00CE300F"/>
    <w:rsid w:val="00CE3767"/>
    <w:rsid w:val="00CE37A1"/>
    <w:rsid w:val="00CE3C3E"/>
    <w:rsid w:val="00CE6234"/>
    <w:rsid w:val="00CE6EFD"/>
    <w:rsid w:val="00CE75AA"/>
    <w:rsid w:val="00CF1AC9"/>
    <w:rsid w:val="00CF26C6"/>
    <w:rsid w:val="00CF288E"/>
    <w:rsid w:val="00CF44D8"/>
    <w:rsid w:val="00CF4A8D"/>
    <w:rsid w:val="00CF4B4C"/>
    <w:rsid w:val="00CF6859"/>
    <w:rsid w:val="00CF69EE"/>
    <w:rsid w:val="00CF6A62"/>
    <w:rsid w:val="00D025DB"/>
    <w:rsid w:val="00D035BE"/>
    <w:rsid w:val="00D043F3"/>
    <w:rsid w:val="00D044A1"/>
    <w:rsid w:val="00D045D9"/>
    <w:rsid w:val="00D046B4"/>
    <w:rsid w:val="00D058C0"/>
    <w:rsid w:val="00D05A1C"/>
    <w:rsid w:val="00D0668C"/>
    <w:rsid w:val="00D07BDF"/>
    <w:rsid w:val="00D07EF3"/>
    <w:rsid w:val="00D10175"/>
    <w:rsid w:val="00D1073D"/>
    <w:rsid w:val="00D11125"/>
    <w:rsid w:val="00D13256"/>
    <w:rsid w:val="00D13727"/>
    <w:rsid w:val="00D13C1D"/>
    <w:rsid w:val="00D13D1A"/>
    <w:rsid w:val="00D140EE"/>
    <w:rsid w:val="00D147E2"/>
    <w:rsid w:val="00D15763"/>
    <w:rsid w:val="00D1610C"/>
    <w:rsid w:val="00D16719"/>
    <w:rsid w:val="00D17DC4"/>
    <w:rsid w:val="00D205D9"/>
    <w:rsid w:val="00D20EBA"/>
    <w:rsid w:val="00D20F7C"/>
    <w:rsid w:val="00D21AF9"/>
    <w:rsid w:val="00D246DC"/>
    <w:rsid w:val="00D265FE"/>
    <w:rsid w:val="00D273BB"/>
    <w:rsid w:val="00D27492"/>
    <w:rsid w:val="00D3072B"/>
    <w:rsid w:val="00D308AD"/>
    <w:rsid w:val="00D31353"/>
    <w:rsid w:val="00D314BB"/>
    <w:rsid w:val="00D319F2"/>
    <w:rsid w:val="00D3238A"/>
    <w:rsid w:val="00D32672"/>
    <w:rsid w:val="00D33320"/>
    <w:rsid w:val="00D33B0D"/>
    <w:rsid w:val="00D33EDF"/>
    <w:rsid w:val="00D3459F"/>
    <w:rsid w:val="00D34C00"/>
    <w:rsid w:val="00D35486"/>
    <w:rsid w:val="00D3617F"/>
    <w:rsid w:val="00D36B23"/>
    <w:rsid w:val="00D37CDB"/>
    <w:rsid w:val="00D4007E"/>
    <w:rsid w:val="00D403DF"/>
    <w:rsid w:val="00D41027"/>
    <w:rsid w:val="00D41C5E"/>
    <w:rsid w:val="00D41EFF"/>
    <w:rsid w:val="00D42F35"/>
    <w:rsid w:val="00D42FFC"/>
    <w:rsid w:val="00D431E8"/>
    <w:rsid w:val="00D437A4"/>
    <w:rsid w:val="00D44523"/>
    <w:rsid w:val="00D44862"/>
    <w:rsid w:val="00D45F2D"/>
    <w:rsid w:val="00D46403"/>
    <w:rsid w:val="00D46C9A"/>
    <w:rsid w:val="00D5034D"/>
    <w:rsid w:val="00D50C41"/>
    <w:rsid w:val="00D50E74"/>
    <w:rsid w:val="00D521A9"/>
    <w:rsid w:val="00D5289E"/>
    <w:rsid w:val="00D5564A"/>
    <w:rsid w:val="00D55EB7"/>
    <w:rsid w:val="00D5623B"/>
    <w:rsid w:val="00D614D5"/>
    <w:rsid w:val="00D618AF"/>
    <w:rsid w:val="00D61FFA"/>
    <w:rsid w:val="00D62997"/>
    <w:rsid w:val="00D64EB0"/>
    <w:rsid w:val="00D65FE3"/>
    <w:rsid w:val="00D67EE7"/>
    <w:rsid w:val="00D7036D"/>
    <w:rsid w:val="00D705EA"/>
    <w:rsid w:val="00D709F4"/>
    <w:rsid w:val="00D70F18"/>
    <w:rsid w:val="00D7163C"/>
    <w:rsid w:val="00D73075"/>
    <w:rsid w:val="00D76E40"/>
    <w:rsid w:val="00D808E0"/>
    <w:rsid w:val="00D8099E"/>
    <w:rsid w:val="00D8227A"/>
    <w:rsid w:val="00D82E46"/>
    <w:rsid w:val="00D830C1"/>
    <w:rsid w:val="00D84D95"/>
    <w:rsid w:val="00D85BA4"/>
    <w:rsid w:val="00D914A5"/>
    <w:rsid w:val="00D91828"/>
    <w:rsid w:val="00D9613B"/>
    <w:rsid w:val="00D97300"/>
    <w:rsid w:val="00D97851"/>
    <w:rsid w:val="00DA09A7"/>
    <w:rsid w:val="00DA257A"/>
    <w:rsid w:val="00DA3791"/>
    <w:rsid w:val="00DA37C9"/>
    <w:rsid w:val="00DA37CE"/>
    <w:rsid w:val="00DA380E"/>
    <w:rsid w:val="00DA3955"/>
    <w:rsid w:val="00DA39C3"/>
    <w:rsid w:val="00DA5B0E"/>
    <w:rsid w:val="00DA65E6"/>
    <w:rsid w:val="00DA66E8"/>
    <w:rsid w:val="00DB0C1C"/>
    <w:rsid w:val="00DB1EB2"/>
    <w:rsid w:val="00DB28B5"/>
    <w:rsid w:val="00DB2C7A"/>
    <w:rsid w:val="00DB327E"/>
    <w:rsid w:val="00DB4C8E"/>
    <w:rsid w:val="00DB6639"/>
    <w:rsid w:val="00DB69E8"/>
    <w:rsid w:val="00DB6E46"/>
    <w:rsid w:val="00DB6F9C"/>
    <w:rsid w:val="00DB7D04"/>
    <w:rsid w:val="00DB7DED"/>
    <w:rsid w:val="00DC0AFB"/>
    <w:rsid w:val="00DC28DB"/>
    <w:rsid w:val="00DC3D3A"/>
    <w:rsid w:val="00DC3EF4"/>
    <w:rsid w:val="00DC3FA4"/>
    <w:rsid w:val="00DC4C2A"/>
    <w:rsid w:val="00DC4C7E"/>
    <w:rsid w:val="00DC53D3"/>
    <w:rsid w:val="00DC5B54"/>
    <w:rsid w:val="00DC64DE"/>
    <w:rsid w:val="00DC65C9"/>
    <w:rsid w:val="00DC6965"/>
    <w:rsid w:val="00DC6BEC"/>
    <w:rsid w:val="00DC6C11"/>
    <w:rsid w:val="00DC71A5"/>
    <w:rsid w:val="00DC75E6"/>
    <w:rsid w:val="00DC784E"/>
    <w:rsid w:val="00DC7F30"/>
    <w:rsid w:val="00DD0097"/>
    <w:rsid w:val="00DD0BDE"/>
    <w:rsid w:val="00DD1963"/>
    <w:rsid w:val="00DD1D54"/>
    <w:rsid w:val="00DD2769"/>
    <w:rsid w:val="00DD2CE2"/>
    <w:rsid w:val="00DD3092"/>
    <w:rsid w:val="00DD377D"/>
    <w:rsid w:val="00DD3C10"/>
    <w:rsid w:val="00DD3CCF"/>
    <w:rsid w:val="00DD45E6"/>
    <w:rsid w:val="00DD4D15"/>
    <w:rsid w:val="00DD5B82"/>
    <w:rsid w:val="00DD5BB0"/>
    <w:rsid w:val="00DD640B"/>
    <w:rsid w:val="00DD6EB3"/>
    <w:rsid w:val="00DD6F35"/>
    <w:rsid w:val="00DD70DD"/>
    <w:rsid w:val="00DD7812"/>
    <w:rsid w:val="00DD78B3"/>
    <w:rsid w:val="00DE1C8A"/>
    <w:rsid w:val="00DE39CC"/>
    <w:rsid w:val="00DE3D3F"/>
    <w:rsid w:val="00DE429C"/>
    <w:rsid w:val="00DE43BE"/>
    <w:rsid w:val="00DE52FF"/>
    <w:rsid w:val="00DE5BCD"/>
    <w:rsid w:val="00DE5F9D"/>
    <w:rsid w:val="00DE633B"/>
    <w:rsid w:val="00DE6466"/>
    <w:rsid w:val="00DE7929"/>
    <w:rsid w:val="00DF07F9"/>
    <w:rsid w:val="00DF0EF3"/>
    <w:rsid w:val="00DF34F9"/>
    <w:rsid w:val="00DF397E"/>
    <w:rsid w:val="00DF3F44"/>
    <w:rsid w:val="00DF4436"/>
    <w:rsid w:val="00DF46CD"/>
    <w:rsid w:val="00DF6FF8"/>
    <w:rsid w:val="00DF76F7"/>
    <w:rsid w:val="00E00876"/>
    <w:rsid w:val="00E00F13"/>
    <w:rsid w:val="00E014FD"/>
    <w:rsid w:val="00E0283A"/>
    <w:rsid w:val="00E02D76"/>
    <w:rsid w:val="00E03371"/>
    <w:rsid w:val="00E058DE"/>
    <w:rsid w:val="00E05E48"/>
    <w:rsid w:val="00E05E49"/>
    <w:rsid w:val="00E068D5"/>
    <w:rsid w:val="00E068DB"/>
    <w:rsid w:val="00E07F2D"/>
    <w:rsid w:val="00E10259"/>
    <w:rsid w:val="00E11028"/>
    <w:rsid w:val="00E11DC4"/>
    <w:rsid w:val="00E11FCF"/>
    <w:rsid w:val="00E12339"/>
    <w:rsid w:val="00E13C0E"/>
    <w:rsid w:val="00E145E6"/>
    <w:rsid w:val="00E149E5"/>
    <w:rsid w:val="00E14B47"/>
    <w:rsid w:val="00E1503B"/>
    <w:rsid w:val="00E15C29"/>
    <w:rsid w:val="00E161A0"/>
    <w:rsid w:val="00E213E7"/>
    <w:rsid w:val="00E21D8D"/>
    <w:rsid w:val="00E23819"/>
    <w:rsid w:val="00E24959"/>
    <w:rsid w:val="00E2571A"/>
    <w:rsid w:val="00E26E2F"/>
    <w:rsid w:val="00E27E49"/>
    <w:rsid w:val="00E310B1"/>
    <w:rsid w:val="00E32B1E"/>
    <w:rsid w:val="00E332AF"/>
    <w:rsid w:val="00E339EE"/>
    <w:rsid w:val="00E33C2B"/>
    <w:rsid w:val="00E346C3"/>
    <w:rsid w:val="00E34C12"/>
    <w:rsid w:val="00E35002"/>
    <w:rsid w:val="00E35DE7"/>
    <w:rsid w:val="00E35E79"/>
    <w:rsid w:val="00E35EE8"/>
    <w:rsid w:val="00E363CB"/>
    <w:rsid w:val="00E36855"/>
    <w:rsid w:val="00E36985"/>
    <w:rsid w:val="00E36A3F"/>
    <w:rsid w:val="00E3744B"/>
    <w:rsid w:val="00E404EB"/>
    <w:rsid w:val="00E40EC9"/>
    <w:rsid w:val="00E42157"/>
    <w:rsid w:val="00E421EC"/>
    <w:rsid w:val="00E431CD"/>
    <w:rsid w:val="00E43314"/>
    <w:rsid w:val="00E43D6C"/>
    <w:rsid w:val="00E443E3"/>
    <w:rsid w:val="00E4538A"/>
    <w:rsid w:val="00E46BBE"/>
    <w:rsid w:val="00E470CB"/>
    <w:rsid w:val="00E47458"/>
    <w:rsid w:val="00E502CA"/>
    <w:rsid w:val="00E50434"/>
    <w:rsid w:val="00E517AE"/>
    <w:rsid w:val="00E51BE6"/>
    <w:rsid w:val="00E5230B"/>
    <w:rsid w:val="00E54A99"/>
    <w:rsid w:val="00E55A53"/>
    <w:rsid w:val="00E563E1"/>
    <w:rsid w:val="00E56DFA"/>
    <w:rsid w:val="00E57D76"/>
    <w:rsid w:val="00E60D9A"/>
    <w:rsid w:val="00E63A2D"/>
    <w:rsid w:val="00E63E8C"/>
    <w:rsid w:val="00E63FDA"/>
    <w:rsid w:val="00E64DAE"/>
    <w:rsid w:val="00E656F3"/>
    <w:rsid w:val="00E65900"/>
    <w:rsid w:val="00E65E8E"/>
    <w:rsid w:val="00E6696B"/>
    <w:rsid w:val="00E66FCD"/>
    <w:rsid w:val="00E67E79"/>
    <w:rsid w:val="00E7107D"/>
    <w:rsid w:val="00E72ED1"/>
    <w:rsid w:val="00E72F8C"/>
    <w:rsid w:val="00E733CA"/>
    <w:rsid w:val="00E736B9"/>
    <w:rsid w:val="00E74D9A"/>
    <w:rsid w:val="00E76A33"/>
    <w:rsid w:val="00E76EDC"/>
    <w:rsid w:val="00E81D06"/>
    <w:rsid w:val="00E81F4E"/>
    <w:rsid w:val="00E8276F"/>
    <w:rsid w:val="00E85BEE"/>
    <w:rsid w:val="00E8668C"/>
    <w:rsid w:val="00E9031A"/>
    <w:rsid w:val="00E90394"/>
    <w:rsid w:val="00E90B0C"/>
    <w:rsid w:val="00E90D71"/>
    <w:rsid w:val="00E910BC"/>
    <w:rsid w:val="00E92111"/>
    <w:rsid w:val="00E922B5"/>
    <w:rsid w:val="00E9239F"/>
    <w:rsid w:val="00E9243F"/>
    <w:rsid w:val="00E9308B"/>
    <w:rsid w:val="00E94A75"/>
    <w:rsid w:val="00E95AE8"/>
    <w:rsid w:val="00E968BC"/>
    <w:rsid w:val="00E96CDD"/>
    <w:rsid w:val="00E96E7F"/>
    <w:rsid w:val="00E977B8"/>
    <w:rsid w:val="00EA0D27"/>
    <w:rsid w:val="00EA0FE0"/>
    <w:rsid w:val="00EA1E8C"/>
    <w:rsid w:val="00EA3217"/>
    <w:rsid w:val="00EA3C4E"/>
    <w:rsid w:val="00EA46BB"/>
    <w:rsid w:val="00EA67EE"/>
    <w:rsid w:val="00EA739B"/>
    <w:rsid w:val="00EB1C50"/>
    <w:rsid w:val="00EB23F0"/>
    <w:rsid w:val="00EB2480"/>
    <w:rsid w:val="00EB37B4"/>
    <w:rsid w:val="00EB3831"/>
    <w:rsid w:val="00EB450A"/>
    <w:rsid w:val="00EB4EF6"/>
    <w:rsid w:val="00EB6E25"/>
    <w:rsid w:val="00EB75ED"/>
    <w:rsid w:val="00EC03B7"/>
    <w:rsid w:val="00EC0972"/>
    <w:rsid w:val="00EC1479"/>
    <w:rsid w:val="00EC1B5E"/>
    <w:rsid w:val="00EC1D8F"/>
    <w:rsid w:val="00EC1F8D"/>
    <w:rsid w:val="00EC26C6"/>
    <w:rsid w:val="00EC2953"/>
    <w:rsid w:val="00EC2C7C"/>
    <w:rsid w:val="00EC5442"/>
    <w:rsid w:val="00EC67CA"/>
    <w:rsid w:val="00EC6DFA"/>
    <w:rsid w:val="00EC6F2E"/>
    <w:rsid w:val="00EC7DB9"/>
    <w:rsid w:val="00ED1013"/>
    <w:rsid w:val="00ED22AA"/>
    <w:rsid w:val="00ED3C3E"/>
    <w:rsid w:val="00ED3D08"/>
    <w:rsid w:val="00ED4473"/>
    <w:rsid w:val="00ED4C71"/>
    <w:rsid w:val="00ED626C"/>
    <w:rsid w:val="00ED6A82"/>
    <w:rsid w:val="00ED6B81"/>
    <w:rsid w:val="00ED745D"/>
    <w:rsid w:val="00EE00FC"/>
    <w:rsid w:val="00EE01D5"/>
    <w:rsid w:val="00EE031E"/>
    <w:rsid w:val="00EE0A87"/>
    <w:rsid w:val="00EE17D9"/>
    <w:rsid w:val="00EE24FC"/>
    <w:rsid w:val="00EE3575"/>
    <w:rsid w:val="00EE41DD"/>
    <w:rsid w:val="00EE4826"/>
    <w:rsid w:val="00EE48D9"/>
    <w:rsid w:val="00EE5808"/>
    <w:rsid w:val="00EE5904"/>
    <w:rsid w:val="00EE5D3D"/>
    <w:rsid w:val="00EE776B"/>
    <w:rsid w:val="00EF1257"/>
    <w:rsid w:val="00EF177A"/>
    <w:rsid w:val="00EF2A7C"/>
    <w:rsid w:val="00EF5381"/>
    <w:rsid w:val="00EF5637"/>
    <w:rsid w:val="00EF57AE"/>
    <w:rsid w:val="00EF5F81"/>
    <w:rsid w:val="00EF74A7"/>
    <w:rsid w:val="00EF76E7"/>
    <w:rsid w:val="00F01898"/>
    <w:rsid w:val="00F01960"/>
    <w:rsid w:val="00F02690"/>
    <w:rsid w:val="00F0408A"/>
    <w:rsid w:val="00F04596"/>
    <w:rsid w:val="00F0472E"/>
    <w:rsid w:val="00F04F96"/>
    <w:rsid w:val="00F063CA"/>
    <w:rsid w:val="00F066AF"/>
    <w:rsid w:val="00F07020"/>
    <w:rsid w:val="00F077EE"/>
    <w:rsid w:val="00F10E39"/>
    <w:rsid w:val="00F11F9B"/>
    <w:rsid w:val="00F128D9"/>
    <w:rsid w:val="00F12C9A"/>
    <w:rsid w:val="00F144F1"/>
    <w:rsid w:val="00F148A3"/>
    <w:rsid w:val="00F15471"/>
    <w:rsid w:val="00F15CA4"/>
    <w:rsid w:val="00F15F7E"/>
    <w:rsid w:val="00F2206B"/>
    <w:rsid w:val="00F220D0"/>
    <w:rsid w:val="00F22733"/>
    <w:rsid w:val="00F2336A"/>
    <w:rsid w:val="00F23BF2"/>
    <w:rsid w:val="00F24C2E"/>
    <w:rsid w:val="00F24F6B"/>
    <w:rsid w:val="00F24F7D"/>
    <w:rsid w:val="00F25021"/>
    <w:rsid w:val="00F253F6"/>
    <w:rsid w:val="00F2647F"/>
    <w:rsid w:val="00F26872"/>
    <w:rsid w:val="00F26A70"/>
    <w:rsid w:val="00F27B22"/>
    <w:rsid w:val="00F3068D"/>
    <w:rsid w:val="00F3159A"/>
    <w:rsid w:val="00F33437"/>
    <w:rsid w:val="00F33CFE"/>
    <w:rsid w:val="00F34329"/>
    <w:rsid w:val="00F3487F"/>
    <w:rsid w:val="00F34993"/>
    <w:rsid w:val="00F34A05"/>
    <w:rsid w:val="00F34A3D"/>
    <w:rsid w:val="00F359CF"/>
    <w:rsid w:val="00F362C7"/>
    <w:rsid w:val="00F3740E"/>
    <w:rsid w:val="00F3782E"/>
    <w:rsid w:val="00F37B96"/>
    <w:rsid w:val="00F40849"/>
    <w:rsid w:val="00F40994"/>
    <w:rsid w:val="00F4159C"/>
    <w:rsid w:val="00F43CD4"/>
    <w:rsid w:val="00F44177"/>
    <w:rsid w:val="00F4461F"/>
    <w:rsid w:val="00F446C4"/>
    <w:rsid w:val="00F44868"/>
    <w:rsid w:val="00F44EC2"/>
    <w:rsid w:val="00F457FB"/>
    <w:rsid w:val="00F4604D"/>
    <w:rsid w:val="00F46B48"/>
    <w:rsid w:val="00F50C6E"/>
    <w:rsid w:val="00F51ACB"/>
    <w:rsid w:val="00F530A6"/>
    <w:rsid w:val="00F54658"/>
    <w:rsid w:val="00F54972"/>
    <w:rsid w:val="00F55055"/>
    <w:rsid w:val="00F570BF"/>
    <w:rsid w:val="00F57B78"/>
    <w:rsid w:val="00F605CE"/>
    <w:rsid w:val="00F61534"/>
    <w:rsid w:val="00F61E4E"/>
    <w:rsid w:val="00F62588"/>
    <w:rsid w:val="00F63128"/>
    <w:rsid w:val="00F63B3F"/>
    <w:rsid w:val="00F64F1D"/>
    <w:rsid w:val="00F67D8D"/>
    <w:rsid w:val="00F67DB3"/>
    <w:rsid w:val="00F712CC"/>
    <w:rsid w:val="00F713D0"/>
    <w:rsid w:val="00F71B42"/>
    <w:rsid w:val="00F72488"/>
    <w:rsid w:val="00F72B1A"/>
    <w:rsid w:val="00F738D1"/>
    <w:rsid w:val="00F746E5"/>
    <w:rsid w:val="00F7589E"/>
    <w:rsid w:val="00F75B13"/>
    <w:rsid w:val="00F76CED"/>
    <w:rsid w:val="00F8063B"/>
    <w:rsid w:val="00F8191A"/>
    <w:rsid w:val="00F81A89"/>
    <w:rsid w:val="00F82103"/>
    <w:rsid w:val="00F82B38"/>
    <w:rsid w:val="00F82B99"/>
    <w:rsid w:val="00F83B7B"/>
    <w:rsid w:val="00F841A9"/>
    <w:rsid w:val="00F84B34"/>
    <w:rsid w:val="00F84D19"/>
    <w:rsid w:val="00F862A0"/>
    <w:rsid w:val="00F86D4F"/>
    <w:rsid w:val="00F90567"/>
    <w:rsid w:val="00F91DCD"/>
    <w:rsid w:val="00F92E4F"/>
    <w:rsid w:val="00F94439"/>
    <w:rsid w:val="00F94E7E"/>
    <w:rsid w:val="00F96246"/>
    <w:rsid w:val="00F97F57"/>
    <w:rsid w:val="00FA1075"/>
    <w:rsid w:val="00FA10C6"/>
    <w:rsid w:val="00FA15A5"/>
    <w:rsid w:val="00FA2467"/>
    <w:rsid w:val="00FA2D62"/>
    <w:rsid w:val="00FA3582"/>
    <w:rsid w:val="00FA3E0E"/>
    <w:rsid w:val="00FA3FDA"/>
    <w:rsid w:val="00FA5DD8"/>
    <w:rsid w:val="00FB0028"/>
    <w:rsid w:val="00FB09BD"/>
    <w:rsid w:val="00FB129D"/>
    <w:rsid w:val="00FB157F"/>
    <w:rsid w:val="00FB2661"/>
    <w:rsid w:val="00FB3E79"/>
    <w:rsid w:val="00FB41A2"/>
    <w:rsid w:val="00FB48FE"/>
    <w:rsid w:val="00FB5BA6"/>
    <w:rsid w:val="00FB6454"/>
    <w:rsid w:val="00FB7664"/>
    <w:rsid w:val="00FB7738"/>
    <w:rsid w:val="00FB7B38"/>
    <w:rsid w:val="00FB7FD9"/>
    <w:rsid w:val="00FC34FC"/>
    <w:rsid w:val="00FC3627"/>
    <w:rsid w:val="00FC372D"/>
    <w:rsid w:val="00FC383A"/>
    <w:rsid w:val="00FC39CD"/>
    <w:rsid w:val="00FC591F"/>
    <w:rsid w:val="00FC6627"/>
    <w:rsid w:val="00FC713A"/>
    <w:rsid w:val="00FC777A"/>
    <w:rsid w:val="00FD0044"/>
    <w:rsid w:val="00FD03CA"/>
    <w:rsid w:val="00FD07CE"/>
    <w:rsid w:val="00FD07D1"/>
    <w:rsid w:val="00FD12D8"/>
    <w:rsid w:val="00FD1D89"/>
    <w:rsid w:val="00FD2223"/>
    <w:rsid w:val="00FD29EE"/>
    <w:rsid w:val="00FD2F7B"/>
    <w:rsid w:val="00FD402D"/>
    <w:rsid w:val="00FD60FE"/>
    <w:rsid w:val="00FD61F9"/>
    <w:rsid w:val="00FD6B30"/>
    <w:rsid w:val="00FD7BE7"/>
    <w:rsid w:val="00FE05E6"/>
    <w:rsid w:val="00FE099C"/>
    <w:rsid w:val="00FE184C"/>
    <w:rsid w:val="00FE25C4"/>
    <w:rsid w:val="00FE3097"/>
    <w:rsid w:val="00FE3782"/>
    <w:rsid w:val="00FE40C4"/>
    <w:rsid w:val="00FE4399"/>
    <w:rsid w:val="00FE44D4"/>
    <w:rsid w:val="00FE5502"/>
    <w:rsid w:val="00FE58A6"/>
    <w:rsid w:val="00FE5FB1"/>
    <w:rsid w:val="00FE632C"/>
    <w:rsid w:val="00FE7060"/>
    <w:rsid w:val="00FE7541"/>
    <w:rsid w:val="00FE7C73"/>
    <w:rsid w:val="00FE7EF9"/>
    <w:rsid w:val="00FF06B9"/>
    <w:rsid w:val="00FF1345"/>
    <w:rsid w:val="00FF2628"/>
    <w:rsid w:val="00FF3E53"/>
    <w:rsid w:val="00FF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277C"/>
  <w15:docId w15:val="{3E653163-2C7D-4CFE-A246-EE3C55A7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31"/>
  </w:style>
  <w:style w:type="paragraph" w:styleId="Heading1">
    <w:name w:val="heading 1"/>
    <w:basedOn w:val="Normal"/>
    <w:next w:val="Normal"/>
    <w:link w:val="Heading1Char"/>
    <w:uiPriority w:val="9"/>
    <w:qFormat/>
    <w:rsid w:val="00352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30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E3"/>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457B5A"/>
    <w:pPr>
      <w:spacing w:after="0" w:line="240" w:lineRule="auto"/>
    </w:pPr>
  </w:style>
  <w:style w:type="table" w:styleId="TableGrid">
    <w:name w:val="Table Grid"/>
    <w:basedOn w:val="TableNormal"/>
    <w:uiPriority w:val="59"/>
    <w:rsid w:val="0045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D7F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41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51"/>
    <w:rPr>
      <w:rFonts w:ascii="Tahoma" w:hAnsi="Tahoma" w:cs="Tahoma"/>
      <w:sz w:val="16"/>
      <w:szCs w:val="16"/>
    </w:r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39590F"/>
    <w:pPr>
      <w:spacing w:after="0" w:line="240" w:lineRule="auto"/>
      <w:ind w:left="720"/>
    </w:pPr>
    <w:rPr>
      <w:rFonts w:ascii="Calibri" w:hAnsi="Calibri" w:cs="Calibri"/>
    </w:rPr>
  </w:style>
  <w:style w:type="paragraph" w:styleId="NormalWeb">
    <w:name w:val="Normal (Web)"/>
    <w:basedOn w:val="Normal"/>
    <w:uiPriority w:val="99"/>
    <w:semiHidden/>
    <w:unhideWhenUsed/>
    <w:rsid w:val="008B7D8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43C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3CD4"/>
    <w:rPr>
      <w:rFonts w:ascii="Consolas" w:hAnsi="Consolas"/>
      <w:sz w:val="21"/>
      <w:szCs w:val="21"/>
    </w:rPr>
  </w:style>
  <w:style w:type="character" w:styleId="Strong">
    <w:name w:val="Strong"/>
    <w:basedOn w:val="DefaultParagraphFont"/>
    <w:uiPriority w:val="22"/>
    <w:qFormat/>
    <w:rsid w:val="00BF3F36"/>
    <w:rPr>
      <w:b/>
      <w:bCs/>
    </w:rPr>
  </w:style>
  <w:style w:type="paragraph" w:styleId="Header">
    <w:name w:val="header"/>
    <w:basedOn w:val="Normal"/>
    <w:link w:val="HeaderChar"/>
    <w:uiPriority w:val="99"/>
    <w:unhideWhenUsed/>
    <w:rsid w:val="00030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05"/>
  </w:style>
  <w:style w:type="paragraph" w:styleId="Footer">
    <w:name w:val="footer"/>
    <w:basedOn w:val="Normal"/>
    <w:link w:val="FooterChar"/>
    <w:uiPriority w:val="99"/>
    <w:unhideWhenUsed/>
    <w:rsid w:val="00030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05"/>
  </w:style>
  <w:style w:type="paragraph" w:customStyle="1" w:styleId="FooterBodyText">
    <w:name w:val="Footer Body Text"/>
    <w:basedOn w:val="Normal"/>
    <w:rsid w:val="00030F05"/>
    <w:pPr>
      <w:spacing w:before="68" w:after="71" w:line="210" w:lineRule="atLeast"/>
    </w:pPr>
    <w:rPr>
      <w:rFonts w:ascii="Arial" w:hAnsi="Arial" w:cs="Arial"/>
      <w:color w:val="000000" w:themeColor="text1"/>
      <w:sz w:val="14"/>
      <w:szCs w:val="14"/>
    </w:rPr>
  </w:style>
  <w:style w:type="character" w:styleId="Hyperlink">
    <w:name w:val="Hyperlink"/>
    <w:basedOn w:val="DefaultParagraphFont"/>
    <w:uiPriority w:val="99"/>
    <w:unhideWhenUsed/>
    <w:rsid w:val="00030F05"/>
    <w:rPr>
      <w:color w:val="0000FF" w:themeColor="hyperlink"/>
      <w:u w:val="single"/>
    </w:rPr>
  </w:style>
  <w:style w:type="table" w:customStyle="1" w:styleId="LightShading1">
    <w:name w:val="Light Shading1"/>
    <w:basedOn w:val="TableNormal"/>
    <w:uiPriority w:val="60"/>
    <w:rsid w:val="008277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A4568D"/>
  </w:style>
  <w:style w:type="table" w:styleId="LightList-Accent5">
    <w:name w:val="Light List Accent 5"/>
    <w:basedOn w:val="TableNormal"/>
    <w:uiPriority w:val="61"/>
    <w:rsid w:val="00A456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A456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72F8C"/>
    <w:rPr>
      <w:sz w:val="16"/>
      <w:szCs w:val="16"/>
    </w:rPr>
  </w:style>
  <w:style w:type="paragraph" w:styleId="CommentText">
    <w:name w:val="annotation text"/>
    <w:basedOn w:val="Normal"/>
    <w:link w:val="CommentTextChar"/>
    <w:uiPriority w:val="99"/>
    <w:semiHidden/>
    <w:unhideWhenUsed/>
    <w:rsid w:val="00E72F8C"/>
    <w:pPr>
      <w:spacing w:line="240" w:lineRule="auto"/>
    </w:pPr>
    <w:rPr>
      <w:sz w:val="20"/>
      <w:szCs w:val="20"/>
    </w:rPr>
  </w:style>
  <w:style w:type="character" w:customStyle="1" w:styleId="CommentTextChar">
    <w:name w:val="Comment Text Char"/>
    <w:basedOn w:val="DefaultParagraphFont"/>
    <w:link w:val="CommentText"/>
    <w:uiPriority w:val="99"/>
    <w:semiHidden/>
    <w:rsid w:val="00E72F8C"/>
    <w:rPr>
      <w:sz w:val="20"/>
      <w:szCs w:val="20"/>
    </w:rPr>
  </w:style>
  <w:style w:type="paragraph" w:styleId="CommentSubject">
    <w:name w:val="annotation subject"/>
    <w:basedOn w:val="CommentText"/>
    <w:next w:val="CommentText"/>
    <w:link w:val="CommentSubjectChar"/>
    <w:uiPriority w:val="99"/>
    <w:semiHidden/>
    <w:unhideWhenUsed/>
    <w:rsid w:val="00E72F8C"/>
    <w:rPr>
      <w:b/>
      <w:bCs/>
    </w:rPr>
  </w:style>
  <w:style w:type="character" w:customStyle="1" w:styleId="CommentSubjectChar">
    <w:name w:val="Comment Subject Char"/>
    <w:basedOn w:val="CommentTextChar"/>
    <w:link w:val="CommentSubject"/>
    <w:uiPriority w:val="99"/>
    <w:semiHidden/>
    <w:rsid w:val="00E72F8C"/>
    <w:rPr>
      <w:b/>
      <w:bCs/>
      <w:sz w:val="20"/>
      <w:szCs w:val="20"/>
    </w:rPr>
  </w:style>
  <w:style w:type="character" w:styleId="FollowedHyperlink">
    <w:name w:val="FollowedHyperlink"/>
    <w:basedOn w:val="DefaultParagraphFont"/>
    <w:uiPriority w:val="99"/>
    <w:semiHidden/>
    <w:unhideWhenUsed/>
    <w:rsid w:val="00A63064"/>
    <w:rPr>
      <w:color w:val="800080" w:themeColor="followedHyperlink"/>
      <w:u w:val="single"/>
    </w:rPr>
  </w:style>
  <w:style w:type="character" w:customStyle="1" w:styleId="UnresolvedMention1">
    <w:name w:val="Unresolved Mention1"/>
    <w:basedOn w:val="DefaultParagraphFont"/>
    <w:uiPriority w:val="99"/>
    <w:semiHidden/>
    <w:unhideWhenUsed/>
    <w:rsid w:val="00C17020"/>
    <w:rPr>
      <w:color w:val="605E5C"/>
      <w:shd w:val="clear" w:color="auto" w:fill="E1DFDD"/>
    </w:rPr>
  </w:style>
  <w:style w:type="table" w:customStyle="1" w:styleId="ListTable4-Accent51">
    <w:name w:val="List Table 4 - Accent 51"/>
    <w:basedOn w:val="TableNormal"/>
    <w:uiPriority w:val="49"/>
    <w:rsid w:val="006C465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C166E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0F21EC"/>
    <w:rPr>
      <w:color w:val="605E5C"/>
      <w:shd w:val="clear" w:color="auto" w:fill="E1DFDD"/>
    </w:rPr>
  </w:style>
  <w:style w:type="table" w:styleId="TableGridLight">
    <w:name w:val="Grid Table Light"/>
    <w:basedOn w:val="TableNormal"/>
    <w:uiPriority w:val="40"/>
    <w:rsid w:val="00A06A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3878F9"/>
    <w:rPr>
      <w:color w:val="605E5C"/>
      <w:shd w:val="clear" w:color="auto" w:fill="E1DFDD"/>
    </w:rPr>
  </w:style>
  <w:style w:type="character" w:customStyle="1" w:styleId="UnresolvedMention4">
    <w:name w:val="Unresolved Mention4"/>
    <w:basedOn w:val="DefaultParagraphFont"/>
    <w:uiPriority w:val="99"/>
    <w:semiHidden/>
    <w:unhideWhenUsed/>
    <w:rsid w:val="00C34339"/>
    <w:rPr>
      <w:color w:val="605E5C"/>
      <w:shd w:val="clear" w:color="auto" w:fill="E1DFDD"/>
    </w:rPr>
  </w:style>
  <w:style w:type="character" w:customStyle="1" w:styleId="UnresolvedMention5">
    <w:name w:val="Unresolved Mention5"/>
    <w:basedOn w:val="DefaultParagraphFont"/>
    <w:uiPriority w:val="99"/>
    <w:semiHidden/>
    <w:unhideWhenUsed/>
    <w:rsid w:val="009D53C0"/>
    <w:rPr>
      <w:color w:val="605E5C"/>
      <w:shd w:val="clear" w:color="auto" w:fill="E1DFDD"/>
    </w:rPr>
  </w:style>
  <w:style w:type="character" w:customStyle="1" w:styleId="UnresolvedMention6">
    <w:name w:val="Unresolved Mention6"/>
    <w:basedOn w:val="DefaultParagraphFont"/>
    <w:uiPriority w:val="99"/>
    <w:semiHidden/>
    <w:unhideWhenUsed/>
    <w:rsid w:val="00334A0F"/>
    <w:rPr>
      <w:color w:val="605E5C"/>
      <w:shd w:val="clear" w:color="auto" w:fill="E1DFDD"/>
    </w:rPr>
  </w:style>
  <w:style w:type="character" w:customStyle="1" w:styleId="UnresolvedMention7">
    <w:name w:val="Unresolved Mention7"/>
    <w:basedOn w:val="DefaultParagraphFont"/>
    <w:uiPriority w:val="99"/>
    <w:semiHidden/>
    <w:unhideWhenUsed/>
    <w:rsid w:val="008B2978"/>
    <w:rPr>
      <w:color w:val="605E5C"/>
      <w:shd w:val="clear" w:color="auto" w:fill="E1DFDD"/>
    </w:rPr>
  </w:style>
  <w:style w:type="character" w:customStyle="1" w:styleId="UnresolvedMention8">
    <w:name w:val="Unresolved Mention8"/>
    <w:basedOn w:val="DefaultParagraphFont"/>
    <w:uiPriority w:val="99"/>
    <w:semiHidden/>
    <w:unhideWhenUsed/>
    <w:rsid w:val="00537360"/>
    <w:rPr>
      <w:color w:val="605E5C"/>
      <w:shd w:val="clear" w:color="auto" w:fill="E1DFDD"/>
    </w:rPr>
  </w:style>
  <w:style w:type="paragraph" w:customStyle="1" w:styleId="ydp371b4e2dmsonormal">
    <w:name w:val="ydp371b4e2dmsonormal"/>
    <w:basedOn w:val="Normal"/>
    <w:rsid w:val="00D20F7C"/>
    <w:pPr>
      <w:spacing w:before="100" w:beforeAutospacing="1" w:after="100" w:afterAutospacing="1" w:line="240" w:lineRule="auto"/>
    </w:pPr>
    <w:rPr>
      <w:rFonts w:ascii="Calibri" w:hAnsi="Calibri" w:cs="Calibri"/>
    </w:rPr>
  </w:style>
  <w:style w:type="table" w:styleId="ListTable1Light-Accent4">
    <w:name w:val="List Table 1 Light Accent 4"/>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923AA8"/>
    <w:rPr>
      <w:rFonts w:ascii="Calibri" w:hAnsi="Calibri" w:cs="Calibri"/>
    </w:rPr>
  </w:style>
  <w:style w:type="table" w:styleId="ListTable1Light-Accent1">
    <w:name w:val="List Table 1 Light Accent 1"/>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A77F5D"/>
    <w:pPr>
      <w:spacing w:after="0" w:line="240" w:lineRule="auto"/>
    </w:pPr>
    <w:rPr>
      <w:rFonts w:ascii="Calibri" w:hAnsi="Calibri" w:cs="Calibri"/>
    </w:rPr>
  </w:style>
  <w:style w:type="table" w:styleId="ListTable7Colorful-Accent1">
    <w:name w:val="List Table 7 Colorful Accent 1"/>
    <w:basedOn w:val="TableNormal"/>
    <w:uiPriority w:val="52"/>
    <w:rsid w:val="007906D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1">
    <w:name w:val="List Table 4 Accent 1"/>
    <w:basedOn w:val="TableNormal"/>
    <w:uiPriority w:val="49"/>
    <w:rsid w:val="007906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124EE7"/>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C43DB"/>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9">
    <w:name w:val="Unresolved Mention9"/>
    <w:basedOn w:val="DefaultParagraphFont"/>
    <w:uiPriority w:val="99"/>
    <w:semiHidden/>
    <w:unhideWhenUsed/>
    <w:rsid w:val="002B7BF3"/>
    <w:rPr>
      <w:color w:val="605E5C"/>
      <w:shd w:val="clear" w:color="auto" w:fill="E1DFDD"/>
    </w:rPr>
  </w:style>
  <w:style w:type="table" w:styleId="ListTable6Colorful">
    <w:name w:val="List Table 6 Colorful"/>
    <w:basedOn w:val="TableNormal"/>
    <w:uiPriority w:val="51"/>
    <w:rsid w:val="001474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A030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150">
      <w:bodyDiv w:val="1"/>
      <w:marLeft w:val="0"/>
      <w:marRight w:val="0"/>
      <w:marTop w:val="0"/>
      <w:marBottom w:val="0"/>
      <w:divBdr>
        <w:top w:val="none" w:sz="0" w:space="0" w:color="auto"/>
        <w:left w:val="none" w:sz="0" w:space="0" w:color="auto"/>
        <w:bottom w:val="none" w:sz="0" w:space="0" w:color="auto"/>
        <w:right w:val="none" w:sz="0" w:space="0" w:color="auto"/>
      </w:divBdr>
    </w:div>
    <w:div w:id="7948491">
      <w:bodyDiv w:val="1"/>
      <w:marLeft w:val="0"/>
      <w:marRight w:val="0"/>
      <w:marTop w:val="0"/>
      <w:marBottom w:val="0"/>
      <w:divBdr>
        <w:top w:val="none" w:sz="0" w:space="0" w:color="auto"/>
        <w:left w:val="none" w:sz="0" w:space="0" w:color="auto"/>
        <w:bottom w:val="none" w:sz="0" w:space="0" w:color="auto"/>
        <w:right w:val="none" w:sz="0" w:space="0" w:color="auto"/>
      </w:divBdr>
    </w:div>
    <w:div w:id="41829647">
      <w:bodyDiv w:val="1"/>
      <w:marLeft w:val="0"/>
      <w:marRight w:val="0"/>
      <w:marTop w:val="0"/>
      <w:marBottom w:val="0"/>
      <w:divBdr>
        <w:top w:val="none" w:sz="0" w:space="0" w:color="auto"/>
        <w:left w:val="none" w:sz="0" w:space="0" w:color="auto"/>
        <w:bottom w:val="none" w:sz="0" w:space="0" w:color="auto"/>
        <w:right w:val="none" w:sz="0" w:space="0" w:color="auto"/>
      </w:divBdr>
    </w:div>
    <w:div w:id="42872125">
      <w:bodyDiv w:val="1"/>
      <w:marLeft w:val="0"/>
      <w:marRight w:val="0"/>
      <w:marTop w:val="0"/>
      <w:marBottom w:val="0"/>
      <w:divBdr>
        <w:top w:val="none" w:sz="0" w:space="0" w:color="auto"/>
        <w:left w:val="none" w:sz="0" w:space="0" w:color="auto"/>
        <w:bottom w:val="none" w:sz="0" w:space="0" w:color="auto"/>
        <w:right w:val="none" w:sz="0" w:space="0" w:color="auto"/>
      </w:divBdr>
    </w:div>
    <w:div w:id="64298979">
      <w:bodyDiv w:val="1"/>
      <w:marLeft w:val="0"/>
      <w:marRight w:val="0"/>
      <w:marTop w:val="0"/>
      <w:marBottom w:val="0"/>
      <w:divBdr>
        <w:top w:val="none" w:sz="0" w:space="0" w:color="auto"/>
        <w:left w:val="none" w:sz="0" w:space="0" w:color="auto"/>
        <w:bottom w:val="none" w:sz="0" w:space="0" w:color="auto"/>
        <w:right w:val="none" w:sz="0" w:space="0" w:color="auto"/>
      </w:divBdr>
    </w:div>
    <w:div w:id="163861778">
      <w:bodyDiv w:val="1"/>
      <w:marLeft w:val="0"/>
      <w:marRight w:val="0"/>
      <w:marTop w:val="0"/>
      <w:marBottom w:val="0"/>
      <w:divBdr>
        <w:top w:val="none" w:sz="0" w:space="0" w:color="auto"/>
        <w:left w:val="none" w:sz="0" w:space="0" w:color="auto"/>
        <w:bottom w:val="none" w:sz="0" w:space="0" w:color="auto"/>
        <w:right w:val="none" w:sz="0" w:space="0" w:color="auto"/>
      </w:divBdr>
    </w:div>
    <w:div w:id="180050610">
      <w:bodyDiv w:val="1"/>
      <w:marLeft w:val="0"/>
      <w:marRight w:val="0"/>
      <w:marTop w:val="0"/>
      <w:marBottom w:val="0"/>
      <w:divBdr>
        <w:top w:val="none" w:sz="0" w:space="0" w:color="auto"/>
        <w:left w:val="none" w:sz="0" w:space="0" w:color="auto"/>
        <w:bottom w:val="none" w:sz="0" w:space="0" w:color="auto"/>
        <w:right w:val="none" w:sz="0" w:space="0" w:color="auto"/>
      </w:divBdr>
    </w:div>
    <w:div w:id="246422950">
      <w:bodyDiv w:val="1"/>
      <w:marLeft w:val="0"/>
      <w:marRight w:val="0"/>
      <w:marTop w:val="0"/>
      <w:marBottom w:val="0"/>
      <w:divBdr>
        <w:top w:val="none" w:sz="0" w:space="0" w:color="auto"/>
        <w:left w:val="none" w:sz="0" w:space="0" w:color="auto"/>
        <w:bottom w:val="none" w:sz="0" w:space="0" w:color="auto"/>
        <w:right w:val="none" w:sz="0" w:space="0" w:color="auto"/>
      </w:divBdr>
    </w:div>
    <w:div w:id="270550470">
      <w:bodyDiv w:val="1"/>
      <w:marLeft w:val="0"/>
      <w:marRight w:val="0"/>
      <w:marTop w:val="0"/>
      <w:marBottom w:val="0"/>
      <w:divBdr>
        <w:top w:val="none" w:sz="0" w:space="0" w:color="auto"/>
        <w:left w:val="none" w:sz="0" w:space="0" w:color="auto"/>
        <w:bottom w:val="none" w:sz="0" w:space="0" w:color="auto"/>
        <w:right w:val="none" w:sz="0" w:space="0" w:color="auto"/>
      </w:divBdr>
    </w:div>
    <w:div w:id="296960780">
      <w:bodyDiv w:val="1"/>
      <w:marLeft w:val="0"/>
      <w:marRight w:val="0"/>
      <w:marTop w:val="0"/>
      <w:marBottom w:val="0"/>
      <w:divBdr>
        <w:top w:val="none" w:sz="0" w:space="0" w:color="auto"/>
        <w:left w:val="none" w:sz="0" w:space="0" w:color="auto"/>
        <w:bottom w:val="none" w:sz="0" w:space="0" w:color="auto"/>
        <w:right w:val="none" w:sz="0" w:space="0" w:color="auto"/>
      </w:divBdr>
    </w:div>
    <w:div w:id="332686944">
      <w:bodyDiv w:val="1"/>
      <w:marLeft w:val="0"/>
      <w:marRight w:val="0"/>
      <w:marTop w:val="0"/>
      <w:marBottom w:val="0"/>
      <w:divBdr>
        <w:top w:val="none" w:sz="0" w:space="0" w:color="auto"/>
        <w:left w:val="none" w:sz="0" w:space="0" w:color="auto"/>
        <w:bottom w:val="none" w:sz="0" w:space="0" w:color="auto"/>
        <w:right w:val="none" w:sz="0" w:space="0" w:color="auto"/>
      </w:divBdr>
    </w:div>
    <w:div w:id="341857403">
      <w:bodyDiv w:val="1"/>
      <w:marLeft w:val="0"/>
      <w:marRight w:val="0"/>
      <w:marTop w:val="0"/>
      <w:marBottom w:val="0"/>
      <w:divBdr>
        <w:top w:val="none" w:sz="0" w:space="0" w:color="auto"/>
        <w:left w:val="none" w:sz="0" w:space="0" w:color="auto"/>
        <w:bottom w:val="none" w:sz="0" w:space="0" w:color="auto"/>
        <w:right w:val="none" w:sz="0" w:space="0" w:color="auto"/>
      </w:divBdr>
    </w:div>
    <w:div w:id="342170964">
      <w:bodyDiv w:val="1"/>
      <w:marLeft w:val="0"/>
      <w:marRight w:val="0"/>
      <w:marTop w:val="0"/>
      <w:marBottom w:val="0"/>
      <w:divBdr>
        <w:top w:val="none" w:sz="0" w:space="0" w:color="auto"/>
        <w:left w:val="none" w:sz="0" w:space="0" w:color="auto"/>
        <w:bottom w:val="none" w:sz="0" w:space="0" w:color="auto"/>
        <w:right w:val="none" w:sz="0" w:space="0" w:color="auto"/>
      </w:divBdr>
    </w:div>
    <w:div w:id="353189426">
      <w:bodyDiv w:val="1"/>
      <w:marLeft w:val="0"/>
      <w:marRight w:val="0"/>
      <w:marTop w:val="0"/>
      <w:marBottom w:val="0"/>
      <w:divBdr>
        <w:top w:val="none" w:sz="0" w:space="0" w:color="auto"/>
        <w:left w:val="none" w:sz="0" w:space="0" w:color="auto"/>
        <w:bottom w:val="none" w:sz="0" w:space="0" w:color="auto"/>
        <w:right w:val="none" w:sz="0" w:space="0" w:color="auto"/>
      </w:divBdr>
    </w:div>
    <w:div w:id="427383817">
      <w:bodyDiv w:val="1"/>
      <w:marLeft w:val="0"/>
      <w:marRight w:val="0"/>
      <w:marTop w:val="0"/>
      <w:marBottom w:val="0"/>
      <w:divBdr>
        <w:top w:val="none" w:sz="0" w:space="0" w:color="auto"/>
        <w:left w:val="none" w:sz="0" w:space="0" w:color="auto"/>
        <w:bottom w:val="none" w:sz="0" w:space="0" w:color="auto"/>
        <w:right w:val="none" w:sz="0" w:space="0" w:color="auto"/>
      </w:divBdr>
    </w:div>
    <w:div w:id="512496062">
      <w:bodyDiv w:val="1"/>
      <w:marLeft w:val="0"/>
      <w:marRight w:val="0"/>
      <w:marTop w:val="0"/>
      <w:marBottom w:val="0"/>
      <w:divBdr>
        <w:top w:val="none" w:sz="0" w:space="0" w:color="auto"/>
        <w:left w:val="none" w:sz="0" w:space="0" w:color="auto"/>
        <w:bottom w:val="none" w:sz="0" w:space="0" w:color="auto"/>
        <w:right w:val="none" w:sz="0" w:space="0" w:color="auto"/>
      </w:divBdr>
    </w:div>
    <w:div w:id="556012674">
      <w:bodyDiv w:val="1"/>
      <w:marLeft w:val="0"/>
      <w:marRight w:val="0"/>
      <w:marTop w:val="0"/>
      <w:marBottom w:val="0"/>
      <w:divBdr>
        <w:top w:val="none" w:sz="0" w:space="0" w:color="auto"/>
        <w:left w:val="none" w:sz="0" w:space="0" w:color="auto"/>
        <w:bottom w:val="none" w:sz="0" w:space="0" w:color="auto"/>
        <w:right w:val="none" w:sz="0" w:space="0" w:color="auto"/>
      </w:divBdr>
    </w:div>
    <w:div w:id="571501722">
      <w:bodyDiv w:val="1"/>
      <w:marLeft w:val="0"/>
      <w:marRight w:val="0"/>
      <w:marTop w:val="0"/>
      <w:marBottom w:val="0"/>
      <w:divBdr>
        <w:top w:val="none" w:sz="0" w:space="0" w:color="auto"/>
        <w:left w:val="none" w:sz="0" w:space="0" w:color="auto"/>
        <w:bottom w:val="none" w:sz="0" w:space="0" w:color="auto"/>
        <w:right w:val="none" w:sz="0" w:space="0" w:color="auto"/>
      </w:divBdr>
    </w:div>
    <w:div w:id="614480816">
      <w:bodyDiv w:val="1"/>
      <w:marLeft w:val="0"/>
      <w:marRight w:val="0"/>
      <w:marTop w:val="0"/>
      <w:marBottom w:val="0"/>
      <w:divBdr>
        <w:top w:val="none" w:sz="0" w:space="0" w:color="auto"/>
        <w:left w:val="none" w:sz="0" w:space="0" w:color="auto"/>
        <w:bottom w:val="none" w:sz="0" w:space="0" w:color="auto"/>
        <w:right w:val="none" w:sz="0" w:space="0" w:color="auto"/>
      </w:divBdr>
    </w:div>
    <w:div w:id="642080046">
      <w:bodyDiv w:val="1"/>
      <w:marLeft w:val="0"/>
      <w:marRight w:val="0"/>
      <w:marTop w:val="0"/>
      <w:marBottom w:val="0"/>
      <w:divBdr>
        <w:top w:val="none" w:sz="0" w:space="0" w:color="auto"/>
        <w:left w:val="none" w:sz="0" w:space="0" w:color="auto"/>
        <w:bottom w:val="none" w:sz="0" w:space="0" w:color="auto"/>
        <w:right w:val="none" w:sz="0" w:space="0" w:color="auto"/>
      </w:divBdr>
    </w:div>
    <w:div w:id="656569236">
      <w:bodyDiv w:val="1"/>
      <w:marLeft w:val="0"/>
      <w:marRight w:val="0"/>
      <w:marTop w:val="0"/>
      <w:marBottom w:val="0"/>
      <w:divBdr>
        <w:top w:val="none" w:sz="0" w:space="0" w:color="auto"/>
        <w:left w:val="none" w:sz="0" w:space="0" w:color="auto"/>
        <w:bottom w:val="none" w:sz="0" w:space="0" w:color="auto"/>
        <w:right w:val="none" w:sz="0" w:space="0" w:color="auto"/>
      </w:divBdr>
    </w:div>
    <w:div w:id="668093002">
      <w:bodyDiv w:val="1"/>
      <w:marLeft w:val="0"/>
      <w:marRight w:val="0"/>
      <w:marTop w:val="0"/>
      <w:marBottom w:val="0"/>
      <w:divBdr>
        <w:top w:val="none" w:sz="0" w:space="0" w:color="auto"/>
        <w:left w:val="none" w:sz="0" w:space="0" w:color="auto"/>
        <w:bottom w:val="none" w:sz="0" w:space="0" w:color="auto"/>
        <w:right w:val="none" w:sz="0" w:space="0" w:color="auto"/>
      </w:divBdr>
    </w:div>
    <w:div w:id="719019560">
      <w:bodyDiv w:val="1"/>
      <w:marLeft w:val="0"/>
      <w:marRight w:val="0"/>
      <w:marTop w:val="0"/>
      <w:marBottom w:val="0"/>
      <w:divBdr>
        <w:top w:val="none" w:sz="0" w:space="0" w:color="auto"/>
        <w:left w:val="none" w:sz="0" w:space="0" w:color="auto"/>
        <w:bottom w:val="none" w:sz="0" w:space="0" w:color="auto"/>
        <w:right w:val="none" w:sz="0" w:space="0" w:color="auto"/>
      </w:divBdr>
    </w:div>
    <w:div w:id="763889860">
      <w:bodyDiv w:val="1"/>
      <w:marLeft w:val="0"/>
      <w:marRight w:val="0"/>
      <w:marTop w:val="0"/>
      <w:marBottom w:val="0"/>
      <w:divBdr>
        <w:top w:val="none" w:sz="0" w:space="0" w:color="auto"/>
        <w:left w:val="none" w:sz="0" w:space="0" w:color="auto"/>
        <w:bottom w:val="none" w:sz="0" w:space="0" w:color="auto"/>
        <w:right w:val="none" w:sz="0" w:space="0" w:color="auto"/>
      </w:divBdr>
    </w:div>
    <w:div w:id="783184729">
      <w:bodyDiv w:val="1"/>
      <w:marLeft w:val="0"/>
      <w:marRight w:val="0"/>
      <w:marTop w:val="0"/>
      <w:marBottom w:val="0"/>
      <w:divBdr>
        <w:top w:val="none" w:sz="0" w:space="0" w:color="auto"/>
        <w:left w:val="none" w:sz="0" w:space="0" w:color="auto"/>
        <w:bottom w:val="none" w:sz="0" w:space="0" w:color="auto"/>
        <w:right w:val="none" w:sz="0" w:space="0" w:color="auto"/>
      </w:divBdr>
    </w:div>
    <w:div w:id="826822187">
      <w:bodyDiv w:val="1"/>
      <w:marLeft w:val="0"/>
      <w:marRight w:val="0"/>
      <w:marTop w:val="0"/>
      <w:marBottom w:val="0"/>
      <w:divBdr>
        <w:top w:val="none" w:sz="0" w:space="0" w:color="auto"/>
        <w:left w:val="none" w:sz="0" w:space="0" w:color="auto"/>
        <w:bottom w:val="none" w:sz="0" w:space="0" w:color="auto"/>
        <w:right w:val="none" w:sz="0" w:space="0" w:color="auto"/>
      </w:divBdr>
    </w:div>
    <w:div w:id="887106891">
      <w:bodyDiv w:val="1"/>
      <w:marLeft w:val="0"/>
      <w:marRight w:val="0"/>
      <w:marTop w:val="0"/>
      <w:marBottom w:val="0"/>
      <w:divBdr>
        <w:top w:val="none" w:sz="0" w:space="0" w:color="auto"/>
        <w:left w:val="none" w:sz="0" w:space="0" w:color="auto"/>
        <w:bottom w:val="none" w:sz="0" w:space="0" w:color="auto"/>
        <w:right w:val="none" w:sz="0" w:space="0" w:color="auto"/>
      </w:divBdr>
    </w:div>
    <w:div w:id="890458917">
      <w:bodyDiv w:val="1"/>
      <w:marLeft w:val="0"/>
      <w:marRight w:val="0"/>
      <w:marTop w:val="0"/>
      <w:marBottom w:val="0"/>
      <w:divBdr>
        <w:top w:val="none" w:sz="0" w:space="0" w:color="auto"/>
        <w:left w:val="none" w:sz="0" w:space="0" w:color="auto"/>
        <w:bottom w:val="none" w:sz="0" w:space="0" w:color="auto"/>
        <w:right w:val="none" w:sz="0" w:space="0" w:color="auto"/>
      </w:divBdr>
    </w:div>
    <w:div w:id="891162411">
      <w:bodyDiv w:val="1"/>
      <w:marLeft w:val="0"/>
      <w:marRight w:val="0"/>
      <w:marTop w:val="0"/>
      <w:marBottom w:val="0"/>
      <w:divBdr>
        <w:top w:val="none" w:sz="0" w:space="0" w:color="auto"/>
        <w:left w:val="none" w:sz="0" w:space="0" w:color="auto"/>
        <w:bottom w:val="none" w:sz="0" w:space="0" w:color="auto"/>
        <w:right w:val="none" w:sz="0" w:space="0" w:color="auto"/>
      </w:divBdr>
    </w:div>
    <w:div w:id="948272371">
      <w:bodyDiv w:val="1"/>
      <w:marLeft w:val="0"/>
      <w:marRight w:val="0"/>
      <w:marTop w:val="0"/>
      <w:marBottom w:val="0"/>
      <w:divBdr>
        <w:top w:val="none" w:sz="0" w:space="0" w:color="auto"/>
        <w:left w:val="none" w:sz="0" w:space="0" w:color="auto"/>
        <w:bottom w:val="none" w:sz="0" w:space="0" w:color="auto"/>
        <w:right w:val="none" w:sz="0" w:space="0" w:color="auto"/>
      </w:divBdr>
    </w:div>
    <w:div w:id="965699453">
      <w:bodyDiv w:val="1"/>
      <w:marLeft w:val="0"/>
      <w:marRight w:val="0"/>
      <w:marTop w:val="0"/>
      <w:marBottom w:val="0"/>
      <w:divBdr>
        <w:top w:val="none" w:sz="0" w:space="0" w:color="auto"/>
        <w:left w:val="none" w:sz="0" w:space="0" w:color="auto"/>
        <w:bottom w:val="none" w:sz="0" w:space="0" w:color="auto"/>
        <w:right w:val="none" w:sz="0" w:space="0" w:color="auto"/>
      </w:divBdr>
    </w:div>
    <w:div w:id="965887800">
      <w:bodyDiv w:val="1"/>
      <w:marLeft w:val="0"/>
      <w:marRight w:val="0"/>
      <w:marTop w:val="0"/>
      <w:marBottom w:val="0"/>
      <w:divBdr>
        <w:top w:val="none" w:sz="0" w:space="0" w:color="auto"/>
        <w:left w:val="none" w:sz="0" w:space="0" w:color="auto"/>
        <w:bottom w:val="none" w:sz="0" w:space="0" w:color="auto"/>
        <w:right w:val="none" w:sz="0" w:space="0" w:color="auto"/>
      </w:divBdr>
    </w:div>
    <w:div w:id="993530967">
      <w:bodyDiv w:val="1"/>
      <w:marLeft w:val="0"/>
      <w:marRight w:val="0"/>
      <w:marTop w:val="0"/>
      <w:marBottom w:val="0"/>
      <w:divBdr>
        <w:top w:val="none" w:sz="0" w:space="0" w:color="auto"/>
        <w:left w:val="none" w:sz="0" w:space="0" w:color="auto"/>
        <w:bottom w:val="none" w:sz="0" w:space="0" w:color="auto"/>
        <w:right w:val="none" w:sz="0" w:space="0" w:color="auto"/>
      </w:divBdr>
    </w:div>
    <w:div w:id="1005013300">
      <w:bodyDiv w:val="1"/>
      <w:marLeft w:val="0"/>
      <w:marRight w:val="0"/>
      <w:marTop w:val="0"/>
      <w:marBottom w:val="0"/>
      <w:divBdr>
        <w:top w:val="none" w:sz="0" w:space="0" w:color="auto"/>
        <w:left w:val="none" w:sz="0" w:space="0" w:color="auto"/>
        <w:bottom w:val="none" w:sz="0" w:space="0" w:color="auto"/>
        <w:right w:val="none" w:sz="0" w:space="0" w:color="auto"/>
      </w:divBdr>
    </w:div>
    <w:div w:id="1032072143">
      <w:bodyDiv w:val="1"/>
      <w:marLeft w:val="0"/>
      <w:marRight w:val="0"/>
      <w:marTop w:val="0"/>
      <w:marBottom w:val="0"/>
      <w:divBdr>
        <w:top w:val="none" w:sz="0" w:space="0" w:color="auto"/>
        <w:left w:val="none" w:sz="0" w:space="0" w:color="auto"/>
        <w:bottom w:val="none" w:sz="0" w:space="0" w:color="auto"/>
        <w:right w:val="none" w:sz="0" w:space="0" w:color="auto"/>
      </w:divBdr>
    </w:div>
    <w:div w:id="1037899657">
      <w:bodyDiv w:val="1"/>
      <w:marLeft w:val="0"/>
      <w:marRight w:val="0"/>
      <w:marTop w:val="0"/>
      <w:marBottom w:val="0"/>
      <w:divBdr>
        <w:top w:val="none" w:sz="0" w:space="0" w:color="auto"/>
        <w:left w:val="none" w:sz="0" w:space="0" w:color="auto"/>
        <w:bottom w:val="none" w:sz="0" w:space="0" w:color="auto"/>
        <w:right w:val="none" w:sz="0" w:space="0" w:color="auto"/>
      </w:divBdr>
    </w:div>
    <w:div w:id="1084761613">
      <w:bodyDiv w:val="1"/>
      <w:marLeft w:val="0"/>
      <w:marRight w:val="0"/>
      <w:marTop w:val="0"/>
      <w:marBottom w:val="0"/>
      <w:divBdr>
        <w:top w:val="none" w:sz="0" w:space="0" w:color="auto"/>
        <w:left w:val="none" w:sz="0" w:space="0" w:color="auto"/>
        <w:bottom w:val="none" w:sz="0" w:space="0" w:color="auto"/>
        <w:right w:val="none" w:sz="0" w:space="0" w:color="auto"/>
      </w:divBdr>
    </w:div>
    <w:div w:id="1088500378">
      <w:bodyDiv w:val="1"/>
      <w:marLeft w:val="0"/>
      <w:marRight w:val="0"/>
      <w:marTop w:val="0"/>
      <w:marBottom w:val="0"/>
      <w:divBdr>
        <w:top w:val="none" w:sz="0" w:space="0" w:color="auto"/>
        <w:left w:val="none" w:sz="0" w:space="0" w:color="auto"/>
        <w:bottom w:val="none" w:sz="0" w:space="0" w:color="auto"/>
        <w:right w:val="none" w:sz="0" w:space="0" w:color="auto"/>
      </w:divBdr>
    </w:div>
    <w:div w:id="1108966496">
      <w:bodyDiv w:val="1"/>
      <w:marLeft w:val="0"/>
      <w:marRight w:val="0"/>
      <w:marTop w:val="0"/>
      <w:marBottom w:val="0"/>
      <w:divBdr>
        <w:top w:val="none" w:sz="0" w:space="0" w:color="auto"/>
        <w:left w:val="none" w:sz="0" w:space="0" w:color="auto"/>
        <w:bottom w:val="none" w:sz="0" w:space="0" w:color="auto"/>
        <w:right w:val="none" w:sz="0" w:space="0" w:color="auto"/>
      </w:divBdr>
    </w:div>
    <w:div w:id="1110782342">
      <w:bodyDiv w:val="1"/>
      <w:marLeft w:val="0"/>
      <w:marRight w:val="0"/>
      <w:marTop w:val="0"/>
      <w:marBottom w:val="0"/>
      <w:divBdr>
        <w:top w:val="none" w:sz="0" w:space="0" w:color="auto"/>
        <w:left w:val="none" w:sz="0" w:space="0" w:color="auto"/>
        <w:bottom w:val="none" w:sz="0" w:space="0" w:color="auto"/>
        <w:right w:val="none" w:sz="0" w:space="0" w:color="auto"/>
      </w:divBdr>
    </w:div>
    <w:div w:id="1143737724">
      <w:bodyDiv w:val="1"/>
      <w:marLeft w:val="0"/>
      <w:marRight w:val="0"/>
      <w:marTop w:val="0"/>
      <w:marBottom w:val="0"/>
      <w:divBdr>
        <w:top w:val="none" w:sz="0" w:space="0" w:color="auto"/>
        <w:left w:val="none" w:sz="0" w:space="0" w:color="auto"/>
        <w:bottom w:val="none" w:sz="0" w:space="0" w:color="auto"/>
        <w:right w:val="none" w:sz="0" w:space="0" w:color="auto"/>
      </w:divBdr>
    </w:div>
    <w:div w:id="1166555084">
      <w:bodyDiv w:val="1"/>
      <w:marLeft w:val="0"/>
      <w:marRight w:val="0"/>
      <w:marTop w:val="0"/>
      <w:marBottom w:val="0"/>
      <w:divBdr>
        <w:top w:val="none" w:sz="0" w:space="0" w:color="auto"/>
        <w:left w:val="none" w:sz="0" w:space="0" w:color="auto"/>
        <w:bottom w:val="none" w:sz="0" w:space="0" w:color="auto"/>
        <w:right w:val="none" w:sz="0" w:space="0" w:color="auto"/>
      </w:divBdr>
    </w:div>
    <w:div w:id="1169446130">
      <w:bodyDiv w:val="1"/>
      <w:marLeft w:val="0"/>
      <w:marRight w:val="0"/>
      <w:marTop w:val="0"/>
      <w:marBottom w:val="0"/>
      <w:divBdr>
        <w:top w:val="none" w:sz="0" w:space="0" w:color="auto"/>
        <w:left w:val="none" w:sz="0" w:space="0" w:color="auto"/>
        <w:bottom w:val="none" w:sz="0" w:space="0" w:color="auto"/>
        <w:right w:val="none" w:sz="0" w:space="0" w:color="auto"/>
      </w:divBdr>
    </w:div>
    <w:div w:id="1191533543">
      <w:bodyDiv w:val="1"/>
      <w:marLeft w:val="0"/>
      <w:marRight w:val="0"/>
      <w:marTop w:val="0"/>
      <w:marBottom w:val="0"/>
      <w:divBdr>
        <w:top w:val="none" w:sz="0" w:space="0" w:color="auto"/>
        <w:left w:val="none" w:sz="0" w:space="0" w:color="auto"/>
        <w:bottom w:val="none" w:sz="0" w:space="0" w:color="auto"/>
        <w:right w:val="none" w:sz="0" w:space="0" w:color="auto"/>
      </w:divBdr>
    </w:div>
    <w:div w:id="1205675604">
      <w:bodyDiv w:val="1"/>
      <w:marLeft w:val="0"/>
      <w:marRight w:val="0"/>
      <w:marTop w:val="0"/>
      <w:marBottom w:val="0"/>
      <w:divBdr>
        <w:top w:val="none" w:sz="0" w:space="0" w:color="auto"/>
        <w:left w:val="none" w:sz="0" w:space="0" w:color="auto"/>
        <w:bottom w:val="none" w:sz="0" w:space="0" w:color="auto"/>
        <w:right w:val="none" w:sz="0" w:space="0" w:color="auto"/>
      </w:divBdr>
    </w:div>
    <w:div w:id="1217399130">
      <w:bodyDiv w:val="1"/>
      <w:marLeft w:val="0"/>
      <w:marRight w:val="0"/>
      <w:marTop w:val="0"/>
      <w:marBottom w:val="0"/>
      <w:divBdr>
        <w:top w:val="none" w:sz="0" w:space="0" w:color="auto"/>
        <w:left w:val="none" w:sz="0" w:space="0" w:color="auto"/>
        <w:bottom w:val="none" w:sz="0" w:space="0" w:color="auto"/>
        <w:right w:val="none" w:sz="0" w:space="0" w:color="auto"/>
      </w:divBdr>
    </w:div>
    <w:div w:id="1225458099">
      <w:bodyDiv w:val="1"/>
      <w:marLeft w:val="0"/>
      <w:marRight w:val="0"/>
      <w:marTop w:val="0"/>
      <w:marBottom w:val="0"/>
      <w:divBdr>
        <w:top w:val="none" w:sz="0" w:space="0" w:color="auto"/>
        <w:left w:val="none" w:sz="0" w:space="0" w:color="auto"/>
        <w:bottom w:val="none" w:sz="0" w:space="0" w:color="auto"/>
        <w:right w:val="none" w:sz="0" w:space="0" w:color="auto"/>
      </w:divBdr>
    </w:div>
    <w:div w:id="1273392254">
      <w:bodyDiv w:val="1"/>
      <w:marLeft w:val="0"/>
      <w:marRight w:val="0"/>
      <w:marTop w:val="0"/>
      <w:marBottom w:val="0"/>
      <w:divBdr>
        <w:top w:val="none" w:sz="0" w:space="0" w:color="auto"/>
        <w:left w:val="none" w:sz="0" w:space="0" w:color="auto"/>
        <w:bottom w:val="none" w:sz="0" w:space="0" w:color="auto"/>
        <w:right w:val="none" w:sz="0" w:space="0" w:color="auto"/>
      </w:divBdr>
    </w:div>
    <w:div w:id="1276058062">
      <w:bodyDiv w:val="1"/>
      <w:marLeft w:val="0"/>
      <w:marRight w:val="0"/>
      <w:marTop w:val="0"/>
      <w:marBottom w:val="0"/>
      <w:divBdr>
        <w:top w:val="none" w:sz="0" w:space="0" w:color="auto"/>
        <w:left w:val="none" w:sz="0" w:space="0" w:color="auto"/>
        <w:bottom w:val="none" w:sz="0" w:space="0" w:color="auto"/>
        <w:right w:val="none" w:sz="0" w:space="0" w:color="auto"/>
      </w:divBdr>
    </w:div>
    <w:div w:id="1325623154">
      <w:bodyDiv w:val="1"/>
      <w:marLeft w:val="0"/>
      <w:marRight w:val="0"/>
      <w:marTop w:val="0"/>
      <w:marBottom w:val="0"/>
      <w:divBdr>
        <w:top w:val="none" w:sz="0" w:space="0" w:color="auto"/>
        <w:left w:val="none" w:sz="0" w:space="0" w:color="auto"/>
        <w:bottom w:val="none" w:sz="0" w:space="0" w:color="auto"/>
        <w:right w:val="none" w:sz="0" w:space="0" w:color="auto"/>
      </w:divBdr>
    </w:div>
    <w:div w:id="1383096372">
      <w:bodyDiv w:val="1"/>
      <w:marLeft w:val="0"/>
      <w:marRight w:val="0"/>
      <w:marTop w:val="0"/>
      <w:marBottom w:val="0"/>
      <w:divBdr>
        <w:top w:val="none" w:sz="0" w:space="0" w:color="auto"/>
        <w:left w:val="none" w:sz="0" w:space="0" w:color="auto"/>
        <w:bottom w:val="none" w:sz="0" w:space="0" w:color="auto"/>
        <w:right w:val="none" w:sz="0" w:space="0" w:color="auto"/>
      </w:divBdr>
    </w:div>
    <w:div w:id="1389114927">
      <w:bodyDiv w:val="1"/>
      <w:marLeft w:val="0"/>
      <w:marRight w:val="0"/>
      <w:marTop w:val="0"/>
      <w:marBottom w:val="0"/>
      <w:divBdr>
        <w:top w:val="none" w:sz="0" w:space="0" w:color="auto"/>
        <w:left w:val="none" w:sz="0" w:space="0" w:color="auto"/>
        <w:bottom w:val="none" w:sz="0" w:space="0" w:color="auto"/>
        <w:right w:val="none" w:sz="0" w:space="0" w:color="auto"/>
      </w:divBdr>
    </w:div>
    <w:div w:id="1403680677">
      <w:bodyDiv w:val="1"/>
      <w:marLeft w:val="0"/>
      <w:marRight w:val="0"/>
      <w:marTop w:val="0"/>
      <w:marBottom w:val="0"/>
      <w:divBdr>
        <w:top w:val="none" w:sz="0" w:space="0" w:color="auto"/>
        <w:left w:val="none" w:sz="0" w:space="0" w:color="auto"/>
        <w:bottom w:val="none" w:sz="0" w:space="0" w:color="auto"/>
        <w:right w:val="none" w:sz="0" w:space="0" w:color="auto"/>
      </w:divBdr>
    </w:div>
    <w:div w:id="1406996600">
      <w:bodyDiv w:val="1"/>
      <w:marLeft w:val="0"/>
      <w:marRight w:val="0"/>
      <w:marTop w:val="0"/>
      <w:marBottom w:val="0"/>
      <w:divBdr>
        <w:top w:val="none" w:sz="0" w:space="0" w:color="auto"/>
        <w:left w:val="none" w:sz="0" w:space="0" w:color="auto"/>
        <w:bottom w:val="none" w:sz="0" w:space="0" w:color="auto"/>
        <w:right w:val="none" w:sz="0" w:space="0" w:color="auto"/>
      </w:divBdr>
    </w:div>
    <w:div w:id="1447191039">
      <w:bodyDiv w:val="1"/>
      <w:marLeft w:val="0"/>
      <w:marRight w:val="0"/>
      <w:marTop w:val="0"/>
      <w:marBottom w:val="0"/>
      <w:divBdr>
        <w:top w:val="none" w:sz="0" w:space="0" w:color="auto"/>
        <w:left w:val="none" w:sz="0" w:space="0" w:color="auto"/>
        <w:bottom w:val="none" w:sz="0" w:space="0" w:color="auto"/>
        <w:right w:val="none" w:sz="0" w:space="0" w:color="auto"/>
      </w:divBdr>
    </w:div>
    <w:div w:id="1585258411">
      <w:bodyDiv w:val="1"/>
      <w:marLeft w:val="0"/>
      <w:marRight w:val="0"/>
      <w:marTop w:val="0"/>
      <w:marBottom w:val="0"/>
      <w:divBdr>
        <w:top w:val="none" w:sz="0" w:space="0" w:color="auto"/>
        <w:left w:val="none" w:sz="0" w:space="0" w:color="auto"/>
        <w:bottom w:val="none" w:sz="0" w:space="0" w:color="auto"/>
        <w:right w:val="none" w:sz="0" w:space="0" w:color="auto"/>
      </w:divBdr>
    </w:div>
    <w:div w:id="1605458840">
      <w:bodyDiv w:val="1"/>
      <w:marLeft w:val="0"/>
      <w:marRight w:val="0"/>
      <w:marTop w:val="0"/>
      <w:marBottom w:val="0"/>
      <w:divBdr>
        <w:top w:val="none" w:sz="0" w:space="0" w:color="auto"/>
        <w:left w:val="none" w:sz="0" w:space="0" w:color="auto"/>
        <w:bottom w:val="none" w:sz="0" w:space="0" w:color="auto"/>
        <w:right w:val="none" w:sz="0" w:space="0" w:color="auto"/>
      </w:divBdr>
    </w:div>
    <w:div w:id="1625959495">
      <w:bodyDiv w:val="1"/>
      <w:marLeft w:val="0"/>
      <w:marRight w:val="0"/>
      <w:marTop w:val="0"/>
      <w:marBottom w:val="0"/>
      <w:divBdr>
        <w:top w:val="none" w:sz="0" w:space="0" w:color="auto"/>
        <w:left w:val="none" w:sz="0" w:space="0" w:color="auto"/>
        <w:bottom w:val="none" w:sz="0" w:space="0" w:color="auto"/>
        <w:right w:val="none" w:sz="0" w:space="0" w:color="auto"/>
      </w:divBdr>
    </w:div>
    <w:div w:id="1627278737">
      <w:bodyDiv w:val="1"/>
      <w:marLeft w:val="0"/>
      <w:marRight w:val="0"/>
      <w:marTop w:val="0"/>
      <w:marBottom w:val="0"/>
      <w:divBdr>
        <w:top w:val="none" w:sz="0" w:space="0" w:color="auto"/>
        <w:left w:val="none" w:sz="0" w:space="0" w:color="auto"/>
        <w:bottom w:val="none" w:sz="0" w:space="0" w:color="auto"/>
        <w:right w:val="none" w:sz="0" w:space="0" w:color="auto"/>
      </w:divBdr>
    </w:div>
    <w:div w:id="1643071407">
      <w:bodyDiv w:val="1"/>
      <w:marLeft w:val="0"/>
      <w:marRight w:val="0"/>
      <w:marTop w:val="0"/>
      <w:marBottom w:val="0"/>
      <w:divBdr>
        <w:top w:val="none" w:sz="0" w:space="0" w:color="auto"/>
        <w:left w:val="none" w:sz="0" w:space="0" w:color="auto"/>
        <w:bottom w:val="none" w:sz="0" w:space="0" w:color="auto"/>
        <w:right w:val="none" w:sz="0" w:space="0" w:color="auto"/>
      </w:divBdr>
    </w:div>
    <w:div w:id="1644117502">
      <w:bodyDiv w:val="1"/>
      <w:marLeft w:val="0"/>
      <w:marRight w:val="0"/>
      <w:marTop w:val="0"/>
      <w:marBottom w:val="0"/>
      <w:divBdr>
        <w:top w:val="none" w:sz="0" w:space="0" w:color="auto"/>
        <w:left w:val="none" w:sz="0" w:space="0" w:color="auto"/>
        <w:bottom w:val="none" w:sz="0" w:space="0" w:color="auto"/>
        <w:right w:val="none" w:sz="0" w:space="0" w:color="auto"/>
      </w:divBdr>
    </w:div>
    <w:div w:id="1649750458">
      <w:bodyDiv w:val="1"/>
      <w:marLeft w:val="0"/>
      <w:marRight w:val="0"/>
      <w:marTop w:val="0"/>
      <w:marBottom w:val="0"/>
      <w:divBdr>
        <w:top w:val="none" w:sz="0" w:space="0" w:color="auto"/>
        <w:left w:val="none" w:sz="0" w:space="0" w:color="auto"/>
        <w:bottom w:val="none" w:sz="0" w:space="0" w:color="auto"/>
        <w:right w:val="none" w:sz="0" w:space="0" w:color="auto"/>
      </w:divBdr>
    </w:div>
    <w:div w:id="1665084591">
      <w:bodyDiv w:val="1"/>
      <w:marLeft w:val="0"/>
      <w:marRight w:val="0"/>
      <w:marTop w:val="0"/>
      <w:marBottom w:val="0"/>
      <w:divBdr>
        <w:top w:val="none" w:sz="0" w:space="0" w:color="auto"/>
        <w:left w:val="none" w:sz="0" w:space="0" w:color="auto"/>
        <w:bottom w:val="none" w:sz="0" w:space="0" w:color="auto"/>
        <w:right w:val="none" w:sz="0" w:space="0" w:color="auto"/>
      </w:divBdr>
    </w:div>
    <w:div w:id="1674064116">
      <w:bodyDiv w:val="1"/>
      <w:marLeft w:val="0"/>
      <w:marRight w:val="0"/>
      <w:marTop w:val="0"/>
      <w:marBottom w:val="0"/>
      <w:divBdr>
        <w:top w:val="none" w:sz="0" w:space="0" w:color="auto"/>
        <w:left w:val="none" w:sz="0" w:space="0" w:color="auto"/>
        <w:bottom w:val="none" w:sz="0" w:space="0" w:color="auto"/>
        <w:right w:val="none" w:sz="0" w:space="0" w:color="auto"/>
      </w:divBdr>
    </w:div>
    <w:div w:id="1687250875">
      <w:bodyDiv w:val="1"/>
      <w:marLeft w:val="0"/>
      <w:marRight w:val="0"/>
      <w:marTop w:val="0"/>
      <w:marBottom w:val="0"/>
      <w:divBdr>
        <w:top w:val="none" w:sz="0" w:space="0" w:color="auto"/>
        <w:left w:val="none" w:sz="0" w:space="0" w:color="auto"/>
        <w:bottom w:val="none" w:sz="0" w:space="0" w:color="auto"/>
        <w:right w:val="none" w:sz="0" w:space="0" w:color="auto"/>
      </w:divBdr>
    </w:div>
    <w:div w:id="1718242082">
      <w:bodyDiv w:val="1"/>
      <w:marLeft w:val="0"/>
      <w:marRight w:val="0"/>
      <w:marTop w:val="0"/>
      <w:marBottom w:val="0"/>
      <w:divBdr>
        <w:top w:val="none" w:sz="0" w:space="0" w:color="auto"/>
        <w:left w:val="none" w:sz="0" w:space="0" w:color="auto"/>
        <w:bottom w:val="none" w:sz="0" w:space="0" w:color="auto"/>
        <w:right w:val="none" w:sz="0" w:space="0" w:color="auto"/>
      </w:divBdr>
    </w:div>
    <w:div w:id="1719743337">
      <w:bodyDiv w:val="1"/>
      <w:marLeft w:val="0"/>
      <w:marRight w:val="0"/>
      <w:marTop w:val="0"/>
      <w:marBottom w:val="0"/>
      <w:divBdr>
        <w:top w:val="none" w:sz="0" w:space="0" w:color="auto"/>
        <w:left w:val="none" w:sz="0" w:space="0" w:color="auto"/>
        <w:bottom w:val="none" w:sz="0" w:space="0" w:color="auto"/>
        <w:right w:val="none" w:sz="0" w:space="0" w:color="auto"/>
      </w:divBdr>
    </w:div>
    <w:div w:id="1729067912">
      <w:bodyDiv w:val="1"/>
      <w:marLeft w:val="0"/>
      <w:marRight w:val="0"/>
      <w:marTop w:val="0"/>
      <w:marBottom w:val="0"/>
      <w:divBdr>
        <w:top w:val="none" w:sz="0" w:space="0" w:color="auto"/>
        <w:left w:val="none" w:sz="0" w:space="0" w:color="auto"/>
        <w:bottom w:val="none" w:sz="0" w:space="0" w:color="auto"/>
        <w:right w:val="none" w:sz="0" w:space="0" w:color="auto"/>
      </w:divBdr>
    </w:div>
    <w:div w:id="1755130578">
      <w:bodyDiv w:val="1"/>
      <w:marLeft w:val="0"/>
      <w:marRight w:val="0"/>
      <w:marTop w:val="0"/>
      <w:marBottom w:val="0"/>
      <w:divBdr>
        <w:top w:val="none" w:sz="0" w:space="0" w:color="auto"/>
        <w:left w:val="none" w:sz="0" w:space="0" w:color="auto"/>
        <w:bottom w:val="none" w:sz="0" w:space="0" w:color="auto"/>
        <w:right w:val="none" w:sz="0" w:space="0" w:color="auto"/>
      </w:divBdr>
    </w:div>
    <w:div w:id="1755131576">
      <w:bodyDiv w:val="1"/>
      <w:marLeft w:val="0"/>
      <w:marRight w:val="0"/>
      <w:marTop w:val="0"/>
      <w:marBottom w:val="0"/>
      <w:divBdr>
        <w:top w:val="none" w:sz="0" w:space="0" w:color="auto"/>
        <w:left w:val="none" w:sz="0" w:space="0" w:color="auto"/>
        <w:bottom w:val="none" w:sz="0" w:space="0" w:color="auto"/>
        <w:right w:val="none" w:sz="0" w:space="0" w:color="auto"/>
      </w:divBdr>
    </w:div>
    <w:div w:id="1759643085">
      <w:bodyDiv w:val="1"/>
      <w:marLeft w:val="0"/>
      <w:marRight w:val="0"/>
      <w:marTop w:val="0"/>
      <w:marBottom w:val="0"/>
      <w:divBdr>
        <w:top w:val="none" w:sz="0" w:space="0" w:color="auto"/>
        <w:left w:val="none" w:sz="0" w:space="0" w:color="auto"/>
        <w:bottom w:val="none" w:sz="0" w:space="0" w:color="auto"/>
        <w:right w:val="none" w:sz="0" w:space="0" w:color="auto"/>
      </w:divBdr>
    </w:div>
    <w:div w:id="1774012425">
      <w:bodyDiv w:val="1"/>
      <w:marLeft w:val="0"/>
      <w:marRight w:val="0"/>
      <w:marTop w:val="0"/>
      <w:marBottom w:val="0"/>
      <w:divBdr>
        <w:top w:val="none" w:sz="0" w:space="0" w:color="auto"/>
        <w:left w:val="none" w:sz="0" w:space="0" w:color="auto"/>
        <w:bottom w:val="none" w:sz="0" w:space="0" w:color="auto"/>
        <w:right w:val="none" w:sz="0" w:space="0" w:color="auto"/>
      </w:divBdr>
    </w:div>
    <w:div w:id="1778282695">
      <w:bodyDiv w:val="1"/>
      <w:marLeft w:val="0"/>
      <w:marRight w:val="0"/>
      <w:marTop w:val="0"/>
      <w:marBottom w:val="0"/>
      <w:divBdr>
        <w:top w:val="none" w:sz="0" w:space="0" w:color="auto"/>
        <w:left w:val="none" w:sz="0" w:space="0" w:color="auto"/>
        <w:bottom w:val="none" w:sz="0" w:space="0" w:color="auto"/>
        <w:right w:val="none" w:sz="0" w:space="0" w:color="auto"/>
      </w:divBdr>
    </w:div>
    <w:div w:id="1808544319">
      <w:bodyDiv w:val="1"/>
      <w:marLeft w:val="0"/>
      <w:marRight w:val="0"/>
      <w:marTop w:val="0"/>
      <w:marBottom w:val="0"/>
      <w:divBdr>
        <w:top w:val="none" w:sz="0" w:space="0" w:color="auto"/>
        <w:left w:val="none" w:sz="0" w:space="0" w:color="auto"/>
        <w:bottom w:val="none" w:sz="0" w:space="0" w:color="auto"/>
        <w:right w:val="none" w:sz="0" w:space="0" w:color="auto"/>
      </w:divBdr>
    </w:div>
    <w:div w:id="1809516680">
      <w:bodyDiv w:val="1"/>
      <w:marLeft w:val="0"/>
      <w:marRight w:val="0"/>
      <w:marTop w:val="0"/>
      <w:marBottom w:val="0"/>
      <w:divBdr>
        <w:top w:val="none" w:sz="0" w:space="0" w:color="auto"/>
        <w:left w:val="none" w:sz="0" w:space="0" w:color="auto"/>
        <w:bottom w:val="none" w:sz="0" w:space="0" w:color="auto"/>
        <w:right w:val="none" w:sz="0" w:space="0" w:color="auto"/>
      </w:divBdr>
    </w:div>
    <w:div w:id="1901865481">
      <w:bodyDiv w:val="1"/>
      <w:marLeft w:val="0"/>
      <w:marRight w:val="0"/>
      <w:marTop w:val="0"/>
      <w:marBottom w:val="0"/>
      <w:divBdr>
        <w:top w:val="none" w:sz="0" w:space="0" w:color="auto"/>
        <w:left w:val="none" w:sz="0" w:space="0" w:color="auto"/>
        <w:bottom w:val="none" w:sz="0" w:space="0" w:color="auto"/>
        <w:right w:val="none" w:sz="0" w:space="0" w:color="auto"/>
      </w:divBdr>
    </w:div>
    <w:div w:id="1937858592">
      <w:bodyDiv w:val="1"/>
      <w:marLeft w:val="0"/>
      <w:marRight w:val="0"/>
      <w:marTop w:val="0"/>
      <w:marBottom w:val="0"/>
      <w:divBdr>
        <w:top w:val="none" w:sz="0" w:space="0" w:color="auto"/>
        <w:left w:val="none" w:sz="0" w:space="0" w:color="auto"/>
        <w:bottom w:val="none" w:sz="0" w:space="0" w:color="auto"/>
        <w:right w:val="none" w:sz="0" w:space="0" w:color="auto"/>
      </w:divBdr>
    </w:div>
    <w:div w:id="1959143400">
      <w:bodyDiv w:val="1"/>
      <w:marLeft w:val="0"/>
      <w:marRight w:val="0"/>
      <w:marTop w:val="0"/>
      <w:marBottom w:val="0"/>
      <w:divBdr>
        <w:top w:val="none" w:sz="0" w:space="0" w:color="auto"/>
        <w:left w:val="none" w:sz="0" w:space="0" w:color="auto"/>
        <w:bottom w:val="none" w:sz="0" w:space="0" w:color="auto"/>
        <w:right w:val="none" w:sz="0" w:space="0" w:color="auto"/>
      </w:divBdr>
    </w:div>
    <w:div w:id="1986658457">
      <w:bodyDiv w:val="1"/>
      <w:marLeft w:val="0"/>
      <w:marRight w:val="0"/>
      <w:marTop w:val="0"/>
      <w:marBottom w:val="0"/>
      <w:divBdr>
        <w:top w:val="none" w:sz="0" w:space="0" w:color="auto"/>
        <w:left w:val="none" w:sz="0" w:space="0" w:color="auto"/>
        <w:bottom w:val="none" w:sz="0" w:space="0" w:color="auto"/>
        <w:right w:val="none" w:sz="0" w:space="0" w:color="auto"/>
      </w:divBdr>
    </w:div>
    <w:div w:id="2006739460">
      <w:bodyDiv w:val="1"/>
      <w:marLeft w:val="0"/>
      <w:marRight w:val="0"/>
      <w:marTop w:val="0"/>
      <w:marBottom w:val="0"/>
      <w:divBdr>
        <w:top w:val="none" w:sz="0" w:space="0" w:color="auto"/>
        <w:left w:val="none" w:sz="0" w:space="0" w:color="auto"/>
        <w:bottom w:val="none" w:sz="0" w:space="0" w:color="auto"/>
        <w:right w:val="none" w:sz="0" w:space="0" w:color="auto"/>
      </w:divBdr>
    </w:div>
    <w:div w:id="2090420247">
      <w:bodyDiv w:val="1"/>
      <w:marLeft w:val="0"/>
      <w:marRight w:val="0"/>
      <w:marTop w:val="0"/>
      <w:marBottom w:val="0"/>
      <w:divBdr>
        <w:top w:val="none" w:sz="0" w:space="0" w:color="auto"/>
        <w:left w:val="none" w:sz="0" w:space="0" w:color="auto"/>
        <w:bottom w:val="none" w:sz="0" w:space="0" w:color="auto"/>
        <w:right w:val="none" w:sz="0" w:space="0" w:color="auto"/>
      </w:divBdr>
    </w:div>
    <w:div w:id="21390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t>The meat department | Dollar and volume sale vs. YA</a:t>
            </a:r>
            <a:endParaRPr lang="nl-NL" sz="1100" b="1"/>
          </a:p>
        </c:rich>
      </c:tx>
      <c:layout>
        <c:manualLayout>
          <c:xMode val="edge"/>
          <c:yMode val="edge"/>
          <c:x val="3.1307779235928826E-2"/>
          <c:y val="2.3809523809523808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nl-NL"/>
        </a:p>
      </c:txPr>
    </c:title>
    <c:autoTitleDeleted val="0"/>
    <c:plotArea>
      <c:layout>
        <c:manualLayout>
          <c:layoutTarget val="inner"/>
          <c:xMode val="edge"/>
          <c:yMode val="edge"/>
          <c:x val="9.250984251968504E-2"/>
          <c:y val="0.14009967504061993"/>
          <c:w val="0.88202719451735201"/>
          <c:h val="0.81624953130858646"/>
        </c:manualLayout>
      </c:layout>
      <c:lineChart>
        <c:grouping val="standard"/>
        <c:varyColors val="0"/>
        <c:ser>
          <c:idx val="0"/>
          <c:order val="0"/>
          <c:tx>
            <c:strRef>
              <c:f>Blad1!$B$1</c:f>
              <c:strCache>
                <c:ptCount val="1"/>
                <c:pt idx="0">
                  <c:v>$ vs. YA</c:v>
                </c:pt>
              </c:strCache>
            </c:strRef>
          </c:tx>
          <c:spPr>
            <a:ln w="28575" cap="rnd">
              <a:solidFill>
                <a:srgbClr val="00B0F0"/>
              </a:solidFill>
              <a:round/>
            </a:ln>
            <a:effectLst/>
          </c:spPr>
          <c:marker>
            <c:symbol val="circle"/>
            <c:size val="5"/>
            <c:spPr>
              <a:solidFill>
                <a:srgbClr val="00B0F0"/>
              </a:solidFill>
              <a:ln w="9525">
                <a:noFill/>
              </a:ln>
              <a:effectLst/>
            </c:spPr>
          </c:marker>
          <c:dLbls>
            <c:dLbl>
              <c:idx val="1"/>
              <c:layout>
                <c:manualLayout>
                  <c:x val="-2.6312844323440953E-2"/>
                  <c:y val="-8.34494872036534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EE-48F9-91C5-63060273C2D6}"/>
                </c:ext>
              </c:extLst>
            </c:dLbl>
            <c:dLbl>
              <c:idx val="10"/>
              <c:layout>
                <c:manualLayout>
                  <c:x val="-3.5877645853809162E-2"/>
                  <c:y val="-5.11328132038415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FC-469C-81F6-8603C3906848}"/>
                </c:ext>
              </c:extLst>
            </c:dLbl>
            <c:dLbl>
              <c:idx val="14"/>
              <c:layout>
                <c:manualLayout>
                  <c:x val="-4.289836080389535E-2"/>
                  <c:y val="-5.97992756626246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EE-48F9-91C5-63060273C2D6}"/>
                </c:ext>
              </c:extLst>
            </c:dLbl>
            <c:dLbl>
              <c:idx val="15"/>
              <c:layout>
                <c:manualLayout>
                  <c:x val="-1.2366459931389495E-2"/>
                  <c:y val="-5.90982263159978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5B-470F-9118-6A81595F8FCA}"/>
                </c:ext>
              </c:extLst>
            </c:dLbl>
            <c:spPr>
              <a:noFill/>
              <a:ln>
                <a:noFill/>
              </a:ln>
              <a:effectLst/>
            </c:spPr>
            <c:txPr>
              <a:bodyPr rot="0" spcFirstLastPara="1" vertOverflow="ellipsis" vert="horz" wrap="square" anchor="ctr" anchorCtr="1"/>
              <a:lstStyle/>
              <a:p>
                <a:pPr>
                  <a:defRPr sz="900" b="0" i="0" u="none" strike="noStrike" kern="1200" baseline="0">
                    <a:solidFill>
                      <a:srgbClr val="00B0F0"/>
                    </a:solidFill>
                    <a:latin typeface="Arial" panose="020B0604020202020204" pitchFamily="34" charset="0"/>
                    <a:ea typeface="+mn-ea"/>
                    <a:cs typeface="Arial" panose="020B0604020202020204" pitchFamily="34" charset="0"/>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Blad1!$A$2:$A$15</c:f>
              <c:strCache>
                <c:ptCount val="14"/>
                <c:pt idx="0">
                  <c:v>2020</c:v>
                </c:pt>
                <c:pt idx="1">
                  <c:v>2021</c:v>
                </c:pt>
                <c:pt idx="2">
                  <c:v>2022</c:v>
                </c:pt>
                <c:pt idx="3">
                  <c:v>Q1 23</c:v>
                </c:pt>
                <c:pt idx="4">
                  <c:v>Q2 23</c:v>
                </c:pt>
                <c:pt idx="5">
                  <c:v>Q3 23</c:v>
                </c:pt>
                <c:pt idx="6">
                  <c:v>Q4 23</c:v>
                </c:pt>
                <c:pt idx="7">
                  <c:v>Q1 24</c:v>
                </c:pt>
                <c:pt idx="8">
                  <c:v>Q2 24</c:v>
                </c:pt>
                <c:pt idx="9">
                  <c:v>Q3 24</c:v>
                </c:pt>
                <c:pt idx="10">
                  <c:v>Q4 24</c:v>
                </c:pt>
                <c:pt idx="11">
                  <c:v>Q1 25</c:v>
                </c:pt>
                <c:pt idx="12">
                  <c:v>Q2 25</c:v>
                </c:pt>
                <c:pt idx="13">
                  <c:v>May 25</c:v>
                </c:pt>
              </c:strCache>
            </c:strRef>
          </c:cat>
          <c:val>
            <c:numRef>
              <c:f>Blad1!$B$2:$B$15</c:f>
              <c:numCache>
                <c:formatCode>0.0%</c:formatCode>
                <c:ptCount val="14"/>
                <c:pt idx="0">
                  <c:v>0.20627481378257578</c:v>
                </c:pt>
                <c:pt idx="1">
                  <c:v>9.4229442837711497E-3</c:v>
                </c:pt>
                <c:pt idx="2">
                  <c:v>6.6000000000000003E-2</c:v>
                </c:pt>
                <c:pt idx="3">
                  <c:v>9.3492732373047973E-3</c:v>
                </c:pt>
                <c:pt idx="4">
                  <c:v>-3.724121771272859E-4</c:v>
                </c:pt>
                <c:pt idx="5">
                  <c:v>-8.4158877524025365E-3</c:v>
                </c:pt>
                <c:pt idx="6">
                  <c:v>3.2584874881709798E-3</c:v>
                </c:pt>
                <c:pt idx="7">
                  <c:v>4.3999999999999997E-2</c:v>
                </c:pt>
                <c:pt idx="8">
                  <c:v>2.9000000000000001E-2</c:v>
                </c:pt>
                <c:pt idx="9">
                  <c:v>6.0999999999999999E-2</c:v>
                </c:pt>
                <c:pt idx="10">
                  <c:v>4.9000000000000002E-2</c:v>
                </c:pt>
                <c:pt idx="11">
                  <c:v>6.5000000000000002E-2</c:v>
                </c:pt>
                <c:pt idx="12">
                  <c:v>7.2999999999999995E-2</c:v>
                </c:pt>
                <c:pt idx="13">
                  <c:v>5.8000000000000003E-2</c:v>
                </c:pt>
              </c:numCache>
            </c:numRef>
          </c:val>
          <c:smooth val="0"/>
          <c:extLst>
            <c:ext xmlns:c16="http://schemas.microsoft.com/office/drawing/2014/chart" uri="{C3380CC4-5D6E-409C-BE32-E72D297353CC}">
              <c16:uniqueId val="{00000002-EDEE-48F9-91C5-63060273C2D6}"/>
            </c:ext>
          </c:extLst>
        </c:ser>
        <c:ser>
          <c:idx val="1"/>
          <c:order val="1"/>
          <c:tx>
            <c:strRef>
              <c:f>Blad1!$C$1</c:f>
              <c:strCache>
                <c:ptCount val="1"/>
                <c:pt idx="0">
                  <c:v>Lbs vs. YA</c:v>
                </c:pt>
              </c:strCache>
            </c:strRef>
          </c:tx>
          <c:spPr>
            <a:ln w="28575" cap="rnd">
              <a:solidFill>
                <a:schemeClr val="tx2">
                  <a:lumMod val="75000"/>
                </a:schemeClr>
              </a:solidFill>
              <a:round/>
            </a:ln>
            <a:effectLst/>
          </c:spPr>
          <c:marker>
            <c:symbol val="circle"/>
            <c:size val="5"/>
            <c:spPr>
              <a:solidFill>
                <a:schemeClr val="tx2">
                  <a:lumMod val="75000"/>
                </a:schemeClr>
              </a:solidFill>
              <a:ln w="9525">
                <a:solidFill>
                  <a:schemeClr val="tx2">
                    <a:lumMod val="75000"/>
                  </a:schemeClr>
                </a:solidFill>
              </a:ln>
              <a:effectLst/>
            </c:spPr>
          </c:marker>
          <c:dLbls>
            <c:dLbl>
              <c:idx val="1"/>
              <c:layout>
                <c:manualLayout>
                  <c:x val="-3.8742266255455515E-2"/>
                  <c:y val="2.97169981064662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EE-48F9-91C5-63060273C2D6}"/>
                </c:ext>
              </c:extLst>
            </c:dLbl>
            <c:dLbl>
              <c:idx val="2"/>
              <c:layout>
                <c:manualLayout>
                  <c:x val="-3.300338533723457E-2"/>
                  <c:y val="6.13052487432204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EE-48F9-91C5-63060273C2D6}"/>
                </c:ext>
              </c:extLst>
            </c:dLbl>
            <c:dLbl>
              <c:idx val="3"/>
              <c:layout>
                <c:manualLayout>
                  <c:x val="-4.0655226561529201E-2"/>
                  <c:y val="7.24369808465017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ED-4D1F-BA65-ACC65D090C23}"/>
                </c:ext>
              </c:extLst>
            </c:dLbl>
            <c:dLbl>
              <c:idx val="4"/>
              <c:layout>
                <c:manualLayout>
                  <c:x val="-3.5877645853809162E-2"/>
                  <c:y val="-7.85927674372511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ED-4D1F-BA65-ACC65D090C23}"/>
                </c:ext>
              </c:extLst>
            </c:dLbl>
            <c:dLbl>
              <c:idx val="5"/>
              <c:layout>
                <c:manualLayout>
                  <c:x val="-5.0220028091897406E-2"/>
                  <c:y val="5.41303446908953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ED-4D1F-BA65-ACC65D090C23}"/>
                </c:ext>
              </c:extLst>
            </c:dLbl>
            <c:dLbl>
              <c:idx val="6"/>
              <c:layout>
                <c:manualLayout>
                  <c:x val="-4.4481147173676461E-2"/>
                  <c:y val="5.14797837430277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EE-48F9-91C5-63060273C2D6}"/>
                </c:ext>
              </c:extLst>
            </c:dLbl>
            <c:dLbl>
              <c:idx val="7"/>
              <c:layout>
                <c:manualLayout>
                  <c:x val="-3.3964685547735587E-2"/>
                  <c:y val="-0.125535955602803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DEE-48F9-91C5-63060273C2D6}"/>
                </c:ext>
              </c:extLst>
            </c:dLbl>
            <c:dLbl>
              <c:idx val="8"/>
              <c:layout>
                <c:manualLayout>
                  <c:x val="-4.0655226561529235E-2"/>
                  <c:y val="7.001063082217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EE-48F9-91C5-63060273C2D6}"/>
                </c:ext>
              </c:extLst>
            </c:dLbl>
            <c:dLbl>
              <c:idx val="9"/>
              <c:layout>
                <c:manualLayout>
                  <c:x val="-3.8742266255455515E-2"/>
                  <c:y val="6.54339717832753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DEE-48F9-91C5-63060273C2D6}"/>
                </c:ext>
              </c:extLst>
            </c:dLbl>
            <c:dLbl>
              <c:idx val="10"/>
              <c:layout>
                <c:manualLayout>
                  <c:x val="-3.3964685547735511E-2"/>
                  <c:y val="5.4130344690895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FC-469C-81F6-8603C3906848}"/>
                </c:ext>
              </c:extLst>
            </c:dLbl>
            <c:dLbl>
              <c:idx val="11"/>
              <c:layout>
                <c:manualLayout>
                  <c:x val="-3.6829305949381864E-2"/>
                  <c:y val="2.7475810374961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DEE-48F9-91C5-63060273C2D6}"/>
                </c:ext>
              </c:extLst>
            </c:dLbl>
            <c:dLbl>
              <c:idx val="12"/>
              <c:layout>
                <c:manualLayout>
                  <c:x val="-3.6905071227646045E-2"/>
                  <c:y val="-3.9157101929764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DEE-48F9-91C5-63060273C2D6}"/>
                </c:ext>
              </c:extLst>
            </c:dLbl>
            <c:dLbl>
              <c:idx val="13"/>
              <c:layout>
                <c:manualLayout>
                  <c:x val="-2.9134234834705922E-3"/>
                  <c:y val="-7.344636840303512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DEE-48F9-91C5-63060273C2D6}"/>
                </c:ext>
              </c:extLst>
            </c:dLbl>
            <c:dLbl>
              <c:idx val="14"/>
              <c:layout>
                <c:manualLayout>
                  <c:x val="1.3857665209352418E-4"/>
                  <c:y val="2.93843856664174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DEE-48F9-91C5-63060273C2D6}"/>
                </c:ext>
              </c:extLst>
            </c:dLbl>
            <c:dLbl>
              <c:idx val="15"/>
              <c:layout>
                <c:manualLayout>
                  <c:x val="-1.8498476786527939E-3"/>
                  <c:y val="-8.226094163858891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5B-470F-9118-6A81595F8FCA}"/>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Blad1!$A$2:$A$15</c:f>
              <c:strCache>
                <c:ptCount val="14"/>
                <c:pt idx="0">
                  <c:v>2020</c:v>
                </c:pt>
                <c:pt idx="1">
                  <c:v>2021</c:v>
                </c:pt>
                <c:pt idx="2">
                  <c:v>2022</c:v>
                </c:pt>
                <c:pt idx="3">
                  <c:v>Q1 23</c:v>
                </c:pt>
                <c:pt idx="4">
                  <c:v>Q2 23</c:v>
                </c:pt>
                <c:pt idx="5">
                  <c:v>Q3 23</c:v>
                </c:pt>
                <c:pt idx="6">
                  <c:v>Q4 23</c:v>
                </c:pt>
                <c:pt idx="7">
                  <c:v>Q1 24</c:v>
                </c:pt>
                <c:pt idx="8">
                  <c:v>Q2 24</c:v>
                </c:pt>
                <c:pt idx="9">
                  <c:v>Q3 24</c:v>
                </c:pt>
                <c:pt idx="10">
                  <c:v>Q4 24</c:v>
                </c:pt>
                <c:pt idx="11">
                  <c:v>Q1 25</c:v>
                </c:pt>
                <c:pt idx="12">
                  <c:v>Q2 25</c:v>
                </c:pt>
                <c:pt idx="13">
                  <c:v>May 25</c:v>
                </c:pt>
              </c:strCache>
            </c:strRef>
          </c:cat>
          <c:val>
            <c:numRef>
              <c:f>Blad1!$C$2:$C$15</c:f>
              <c:numCache>
                <c:formatCode>0.0%</c:formatCode>
                <c:ptCount val="14"/>
                <c:pt idx="0">
                  <c:v>0.12446268727598607</c:v>
                </c:pt>
                <c:pt idx="1">
                  <c:v>-5.8176372553449929E-2</c:v>
                </c:pt>
                <c:pt idx="2">
                  <c:v>-1.2999999999999999E-2</c:v>
                </c:pt>
                <c:pt idx="3">
                  <c:v>-1.0421958657709477E-2</c:v>
                </c:pt>
                <c:pt idx="4">
                  <c:v>7.098421033454853E-4</c:v>
                </c:pt>
                <c:pt idx="5">
                  <c:v>-1.1598576481308628E-2</c:v>
                </c:pt>
                <c:pt idx="6">
                  <c:v>-1.6949906693065675E-2</c:v>
                </c:pt>
                <c:pt idx="7">
                  <c:v>3.5999999999999997E-2</c:v>
                </c:pt>
                <c:pt idx="8">
                  <c:v>-5.0000000000000001E-3</c:v>
                </c:pt>
                <c:pt idx="9">
                  <c:v>3.4000000000000002E-2</c:v>
                </c:pt>
                <c:pt idx="10">
                  <c:v>2.1999999999999999E-2</c:v>
                </c:pt>
                <c:pt idx="11">
                  <c:v>1.4999999999999999E-2</c:v>
                </c:pt>
                <c:pt idx="12">
                  <c:v>3.9E-2</c:v>
                </c:pt>
                <c:pt idx="13">
                  <c:v>1.7000000000000001E-2</c:v>
                </c:pt>
              </c:numCache>
            </c:numRef>
          </c:val>
          <c:smooth val="0"/>
          <c:extLst>
            <c:ext xmlns:c16="http://schemas.microsoft.com/office/drawing/2014/chart" uri="{C3380CC4-5D6E-409C-BE32-E72D297353CC}">
              <c16:uniqueId val="{0000000D-EDEE-48F9-91C5-63060273C2D6}"/>
            </c:ext>
          </c:extLst>
        </c:ser>
        <c:dLbls>
          <c:showLegendKey val="0"/>
          <c:showVal val="0"/>
          <c:showCatName val="0"/>
          <c:showSerName val="0"/>
          <c:showPercent val="0"/>
          <c:showBubbleSize val="0"/>
        </c:dLbls>
        <c:marker val="1"/>
        <c:smooth val="0"/>
        <c:axId val="971202607"/>
        <c:axId val="971188463"/>
      </c:lineChart>
      <c:catAx>
        <c:axId val="97120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nl-NL"/>
          </a:p>
        </c:txPr>
        <c:crossAx val="971188463"/>
        <c:crosses val="autoZero"/>
        <c:auto val="1"/>
        <c:lblAlgn val="ctr"/>
        <c:lblOffset val="100"/>
        <c:noMultiLvlLbl val="0"/>
      </c:catAx>
      <c:valAx>
        <c:axId val="9711884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nl-NL"/>
          </a:p>
        </c:txPr>
        <c:crossAx val="971202607"/>
        <c:crosses val="autoZero"/>
        <c:crossBetween val="between"/>
      </c:valAx>
      <c:spPr>
        <a:noFill/>
        <a:ln>
          <a:noFill/>
        </a:ln>
        <a:effectLst/>
      </c:spPr>
    </c:plotArea>
    <c:legend>
      <c:legendPos val="t"/>
      <c:layout>
        <c:manualLayout>
          <c:xMode val="edge"/>
          <c:yMode val="edge"/>
          <c:x val="0.63825843520375847"/>
          <c:y val="3.7420634920634917E-2"/>
          <c:w val="0.28587715631672295"/>
          <c:h val="7.13625394141168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2A48F4E56677346B8B6B6DC9D1A203F" ma:contentTypeVersion="13" ma:contentTypeDescription="Een nieuw document maken." ma:contentTypeScope="" ma:versionID="d57e4307d27a30ad0d6cc2bf7168855b">
  <xsd:schema xmlns:xsd="http://www.w3.org/2001/XMLSchema" xmlns:xs="http://www.w3.org/2001/XMLSchema" xmlns:p="http://schemas.microsoft.com/office/2006/metadata/properties" xmlns:ns3="04ecfae2-967b-44ca-8562-dbbba9285d98" xmlns:ns4="c8776cbc-5a4b-4a58-aaa1-d6097b0be41a" targetNamespace="http://schemas.microsoft.com/office/2006/metadata/properties" ma:root="true" ma:fieldsID="642f5543e661a72305d0b2498dc2a97b" ns3:_="" ns4:_="">
    <xsd:import namespace="04ecfae2-967b-44ca-8562-dbbba9285d98"/>
    <xsd:import namespace="c8776cbc-5a4b-4a58-aaa1-d6097b0be4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cfae2-967b-44ca-8562-dbbba92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76cbc-5a4b-4a58-aaa1-d6097b0be41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8C781-DBAF-45B7-B735-268366613453}">
  <ds:schemaRefs>
    <ds:schemaRef ds:uri="http://schemas.openxmlformats.org/officeDocument/2006/bibliography"/>
  </ds:schemaRefs>
</ds:datastoreItem>
</file>

<file path=customXml/itemProps2.xml><?xml version="1.0" encoding="utf-8"?>
<ds:datastoreItem xmlns:ds="http://schemas.openxmlformats.org/officeDocument/2006/customXml" ds:itemID="{85CA2469-2F2A-4F5C-8C07-123F4AD0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cfae2-967b-44ca-8562-dbbba9285d98"/>
    <ds:schemaRef ds:uri="c8776cbc-5a4b-4a58-aaa1-d6097b0be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D09CB-37A9-4EFA-9F6E-CBE7238B2853}">
  <ds:schemaRefs>
    <ds:schemaRef ds:uri="http://schemas.microsoft.com/sharepoint/v3/contenttype/forms"/>
  </ds:schemaRefs>
</ds:datastoreItem>
</file>

<file path=customXml/itemProps4.xml><?xml version="1.0" encoding="utf-8"?>
<ds:datastoreItem xmlns:ds="http://schemas.openxmlformats.org/officeDocument/2006/customXml" ds:itemID="{846DCF78-6123-424C-B8BA-493B8FF4FC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2295</Words>
  <Characters>13085</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Tom Super</cp:lastModifiedBy>
  <cp:revision>3</cp:revision>
  <dcterms:created xsi:type="dcterms:W3CDTF">2025-07-18T14:02:00Z</dcterms:created>
  <dcterms:modified xsi:type="dcterms:W3CDTF">2025-07-18T14:04:00Z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0x01010082A48F4E56677346B8B6B6DC9D1A203F</vt:lpwstr>
  </property>
</Properties>
</file>